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A9EA" w14:textId="50CDC7A9" w:rsidR="009577CC" w:rsidRPr="00470460" w:rsidRDefault="00470460" w:rsidP="00470460">
      <w:pPr>
        <w:pStyle w:val="JFSIJUDULARTIKEL"/>
      </w:pPr>
      <w:bookmarkStart w:id="0" w:name="_Hlk75943035"/>
      <w:r w:rsidRPr="00470460">
        <w:t>Penerapan Telemedisin dengan Program Kunjungan dan Konseling Farmasi Secara Virtual dengan Metode COM-B di Puskesmas Gayamsari Kota Semarang</w:t>
      </w:r>
    </w:p>
    <w:p w14:paraId="63BB39EC" w14:textId="1DF494C9" w:rsidR="009577CC" w:rsidRPr="00470460" w:rsidRDefault="00470460" w:rsidP="00F902A1">
      <w:pPr>
        <w:pStyle w:val="JFSINamaPenulis"/>
      </w:pPr>
      <w:r>
        <w:t>Sri Suwarni</w:t>
      </w:r>
      <w:r w:rsidR="009577CC" w:rsidRPr="00320594">
        <w:rPr>
          <w:vertAlign w:val="superscript"/>
        </w:rPr>
        <w:t>1</w:t>
      </w:r>
      <w:r w:rsidR="00D42713" w:rsidRPr="00320594">
        <w:rPr>
          <w:vertAlign w:val="superscript"/>
        </w:rPr>
        <w:t>*</w:t>
      </w:r>
      <w:r w:rsidR="009577CC" w:rsidRPr="00320594">
        <w:t xml:space="preserve">, </w:t>
      </w:r>
      <w:r>
        <w:t>Zakky Cholisoh</w:t>
      </w:r>
      <w:r w:rsidR="009577CC" w:rsidRPr="00320594">
        <w:rPr>
          <w:vertAlign w:val="superscript"/>
        </w:rPr>
        <w:t>2</w:t>
      </w:r>
      <w:r w:rsidR="009577CC" w:rsidRPr="00320594">
        <w:t xml:space="preserve">, </w:t>
      </w:r>
      <w:r>
        <w:t>Tri Kamalasari</w:t>
      </w:r>
      <w:r w:rsidR="009577CC" w:rsidRPr="00320594">
        <w:rPr>
          <w:vertAlign w:val="superscript"/>
        </w:rPr>
        <w:t>3</w:t>
      </w:r>
      <w:r>
        <w:t>, Karol Giovani Battista Leki</w:t>
      </w:r>
      <w:r>
        <w:rPr>
          <w:vertAlign w:val="superscript"/>
        </w:rPr>
        <w:t>4</w:t>
      </w:r>
    </w:p>
    <w:p w14:paraId="33EAFDCC" w14:textId="23800DEB" w:rsidR="009577CC" w:rsidRPr="00320594" w:rsidRDefault="009577CC" w:rsidP="009577CC">
      <w:pPr>
        <w:rPr>
          <w:sz w:val="18"/>
          <w:szCs w:val="18"/>
        </w:rPr>
      </w:pPr>
      <w:r w:rsidRPr="00320594">
        <w:rPr>
          <w:sz w:val="18"/>
          <w:szCs w:val="18"/>
          <w:vertAlign w:val="superscript"/>
        </w:rPr>
        <w:t>1</w:t>
      </w:r>
      <w:r w:rsidR="00470460">
        <w:rPr>
          <w:rStyle w:val="JFSIAfiliasiPenulisChar"/>
        </w:rPr>
        <w:t>Program Studi S1 Farmasi, Sekolah Tinggi Ilmu Farmasi Nusaputera</w:t>
      </w:r>
      <w:r w:rsidRPr="00320594">
        <w:rPr>
          <w:rStyle w:val="JFSIAfiliasiPenulisChar"/>
        </w:rPr>
        <w:t xml:space="preserve">, </w:t>
      </w:r>
      <w:r w:rsidR="00470460">
        <w:rPr>
          <w:rStyle w:val="JFSIAfiliasiPenulisChar"/>
        </w:rPr>
        <w:t>Semarang</w:t>
      </w:r>
      <w:r w:rsidR="00373F78" w:rsidRPr="00320594">
        <w:rPr>
          <w:rStyle w:val="JFSIAfiliasiPenulisChar"/>
        </w:rPr>
        <w:t xml:space="preserve">, </w:t>
      </w:r>
      <w:r w:rsidR="00470460">
        <w:rPr>
          <w:rStyle w:val="JFSIAfiliasiPenulisChar"/>
        </w:rPr>
        <w:t>Indonesia</w:t>
      </w:r>
    </w:p>
    <w:p w14:paraId="5CEBC1F7" w14:textId="7FE5A59D" w:rsidR="009577CC" w:rsidRDefault="009577CC" w:rsidP="00F902A1">
      <w:pPr>
        <w:pStyle w:val="JFSIAfiliasiPenulis"/>
      </w:pPr>
      <w:r w:rsidRPr="00320594">
        <w:rPr>
          <w:vertAlign w:val="superscript"/>
        </w:rPr>
        <w:t>2</w:t>
      </w:r>
      <w:r w:rsidR="00470460">
        <w:t>Fakultas Farmasi, Universitas Muhammadiyah Surakarta</w:t>
      </w:r>
      <w:r w:rsidRPr="00320594">
        <w:t xml:space="preserve">, </w:t>
      </w:r>
      <w:r w:rsidR="00470460">
        <w:t>Surakarta</w:t>
      </w:r>
      <w:r w:rsidR="00373F78" w:rsidRPr="00320594">
        <w:t xml:space="preserve">, </w:t>
      </w:r>
      <w:r w:rsidR="00470460">
        <w:t>Indonesia</w:t>
      </w:r>
    </w:p>
    <w:p w14:paraId="766D37EB" w14:textId="0ED3F8A5" w:rsidR="00470460" w:rsidRDefault="00470460" w:rsidP="00F902A1">
      <w:pPr>
        <w:pStyle w:val="JFSIAfiliasiPenulis"/>
      </w:pPr>
      <w:r w:rsidRPr="00470460">
        <w:rPr>
          <w:vertAlign w:val="superscript"/>
        </w:rPr>
        <w:t>3</w:t>
      </w:r>
      <w:r>
        <w:t>Puskesmas Gayamsari Kota Semarang</w:t>
      </w:r>
    </w:p>
    <w:p w14:paraId="32AAF18D" w14:textId="2E2FDBB1" w:rsidR="00470460" w:rsidRPr="00470460" w:rsidRDefault="00470460" w:rsidP="00F902A1">
      <w:pPr>
        <w:pStyle w:val="JFSIAfiliasiPenulis"/>
      </w:pPr>
      <w:r>
        <w:rPr>
          <w:vertAlign w:val="superscript"/>
        </w:rPr>
        <w:t>4</w:t>
      </w:r>
      <w:r>
        <w:rPr>
          <w:rStyle w:val="JFSIAfiliasiPenulisChar"/>
        </w:rPr>
        <w:t>Program Studi DIII Farmasi, Sekolah Tinggi Ilmu Farmasi Nusaputera</w:t>
      </w:r>
      <w:r w:rsidRPr="00320594">
        <w:rPr>
          <w:rStyle w:val="JFSIAfiliasiPenulisChar"/>
        </w:rPr>
        <w:t xml:space="preserve">, </w:t>
      </w:r>
      <w:r>
        <w:rPr>
          <w:rStyle w:val="JFSIAfiliasiPenulisChar"/>
        </w:rPr>
        <w:t>Semarang</w:t>
      </w:r>
      <w:r w:rsidRPr="00320594">
        <w:rPr>
          <w:rStyle w:val="JFSIAfiliasiPenulisChar"/>
        </w:rPr>
        <w:t xml:space="preserve">, </w:t>
      </w:r>
      <w:r>
        <w:rPr>
          <w:rStyle w:val="JFSIAfiliasiPenulisChar"/>
        </w:rPr>
        <w:t>Indonesia</w:t>
      </w:r>
    </w:p>
    <w:p w14:paraId="0AD9F4BA" w14:textId="554B64EA" w:rsidR="00DA0A25" w:rsidRPr="00320594" w:rsidRDefault="00DA0A25" w:rsidP="00F902A1">
      <w:pPr>
        <w:pStyle w:val="JFSIAfiliasiPenulis"/>
        <w:rPr>
          <w:i/>
          <w:iCs/>
        </w:rPr>
      </w:pPr>
      <w:bookmarkStart w:id="1" w:name="_Hlk75939589"/>
      <w:r w:rsidRPr="00320594">
        <w:rPr>
          <w:i/>
          <w:iCs/>
        </w:rPr>
        <w:t>*corresponding author</w:t>
      </w:r>
    </w:p>
    <w:bookmarkEnd w:id="1"/>
    <w:p w14:paraId="3A1CE8BA" w14:textId="6A57B8E7" w:rsidR="009577CC" w:rsidRPr="00320594" w:rsidRDefault="009577CC" w:rsidP="00F902A1">
      <w:pPr>
        <w:pStyle w:val="JFSIEmailKorespondensi"/>
      </w:pPr>
      <w:r w:rsidRPr="00320594">
        <w:t xml:space="preserve">Email: </w:t>
      </w:r>
      <w:hyperlink r:id="rId8" w:history="1">
        <w:r w:rsidR="00470460" w:rsidRPr="00A81B92">
          <w:rPr>
            <w:rStyle w:val="Hyperlink"/>
          </w:rPr>
          <w:t>warnisutanto@gmail.com</w:t>
        </w:r>
      </w:hyperlink>
    </w:p>
    <w:p w14:paraId="5B77E660" w14:textId="38A54379" w:rsidR="009577CC" w:rsidRDefault="009577CC" w:rsidP="00592835">
      <w:pPr>
        <w:pStyle w:val="JFSIDiterimaDirevisiPublikasi"/>
        <w:tabs>
          <w:tab w:val="left" w:pos="3402"/>
          <w:tab w:val="left" w:pos="6804"/>
        </w:tabs>
      </w:pPr>
      <w:r w:rsidRPr="00320594">
        <w:t>Diterima</w:t>
      </w:r>
      <w:r w:rsidR="00592835">
        <w:t xml:space="preserve"> </w:t>
      </w:r>
      <w:r w:rsidRPr="00320594">
        <w:t xml:space="preserve">: </w:t>
      </w:r>
      <w:r w:rsidR="00470460">
        <w:t>10 November 2025</w:t>
      </w:r>
      <w:r w:rsidR="008A0A44">
        <w:tab/>
      </w:r>
      <w:r w:rsidRPr="00320594">
        <w:t xml:space="preserve">Direvisi : </w:t>
      </w:r>
      <w:r w:rsidR="00470460">
        <w:t>15 Desember 2025</w:t>
      </w:r>
      <w:r w:rsidR="008A0A44">
        <w:tab/>
      </w:r>
      <w:r w:rsidRPr="00320594">
        <w:t>Publikasi</w:t>
      </w:r>
      <w:r w:rsidR="00592835">
        <w:t xml:space="preserve"> </w:t>
      </w:r>
      <w:r w:rsidRPr="00320594">
        <w:t xml:space="preserve">: </w:t>
      </w:r>
      <w:r w:rsidR="00470460">
        <w:t>20 Desember 2025</w:t>
      </w:r>
    </w:p>
    <w:p w14:paraId="5F5FE999" w14:textId="7D916D77" w:rsidR="00973DCF" w:rsidRDefault="00973DCF" w:rsidP="00592835">
      <w:pPr>
        <w:pStyle w:val="JFSIDiterimaDirevisiPublikasi"/>
        <w:tabs>
          <w:tab w:val="left" w:pos="3402"/>
          <w:tab w:val="left" w:pos="6804"/>
        </w:tabs>
      </w:pPr>
    </w:p>
    <w:p w14:paraId="4F217B18" w14:textId="009B9AB0" w:rsidR="00973DCF" w:rsidRPr="00320594" w:rsidRDefault="00973DCF" w:rsidP="00592835">
      <w:pPr>
        <w:pStyle w:val="JFSIDiterimaDirevisiPublikasi"/>
        <w:tabs>
          <w:tab w:val="left" w:pos="3402"/>
          <w:tab w:val="left" w:pos="6804"/>
        </w:tabs>
      </w:pPr>
      <w:r>
        <w:t>doi:xx.xxx/xxxxxxxxx</w:t>
      </w:r>
    </w:p>
    <w:p w14:paraId="4396CE9F" w14:textId="0B8172F8" w:rsidR="00F902A1" w:rsidRPr="00320594" w:rsidRDefault="00677F61" w:rsidP="00F902A1">
      <w:pPr>
        <w:pStyle w:val="JFSIAbstrackJudul"/>
      </w:pPr>
      <w:r w:rsidRPr="00320594">
        <w:t>Abstract</w:t>
      </w:r>
    </w:p>
    <w:p w14:paraId="61DFC0F7" w14:textId="77777777" w:rsidR="00470460" w:rsidRDefault="00470460" w:rsidP="00470460">
      <w:pPr>
        <w:pStyle w:val="JFSIAbstractIsidanKeyword"/>
      </w:pPr>
      <w:r>
        <w:t>Telemedicine is a method for improving access, quality, and safety of healthcare services. However, the implementation of telemedicine, particularly telepharmacy services in primary healthcare facilities such as community health centers (Puskesmas), is still not structured and regular. This study aims to analyze the implementation and success of the Virtual Pharmacy Visit and Counseling Program using the COM-B (Capability, Opportunity, Motivation–Behavior) approach.</w:t>
      </w:r>
    </w:p>
    <w:p w14:paraId="5FFAB2D9" w14:textId="77777777" w:rsidR="00470460" w:rsidRDefault="00470460" w:rsidP="00470460">
      <w:pPr>
        <w:pStyle w:val="JFSIAbstractIsidanKeyword"/>
      </w:pPr>
      <w:r>
        <w:t>This study used a prospective, descriptive qualitative method with a triangulation approach. The study was conducted at the Gayamsari Community Health Center in Semarang City from September to December 2025. The informants in this study consisted of three pharmacists directly involved in the implementation of the innovative telemedicine program. Data were collected through in-depth interviews and focus group discussions (FGDs), using an interview guide verified through expert assessment. Data analysis was conducted thematically based on the COM-B framework.</w:t>
      </w:r>
    </w:p>
    <w:p w14:paraId="025B2850" w14:textId="2FAC16FC" w:rsidR="00677F61" w:rsidRPr="00320594" w:rsidRDefault="00470460" w:rsidP="00470460">
      <w:pPr>
        <w:pStyle w:val="JFSIAbstractIsidanKeyword"/>
      </w:pPr>
      <w:r>
        <w:t>The study results indicate that pharmacists have sufficient skills to conduct online drug counseling and education. The opportunity for implementing telepharmacy is supported by national regulations, although there are no specific technical operational guidelines. Motivation from pharmacists and support from Community Health Center (Puskesmas) leaders are the main factors driving the program's implementation. The implementation of KUFI LUWAK has proven to increase access to pharmacy counseling services, as evidenced by the increase in the number of patients from an average of 10 patients per month to 47 patients per month. Collaboration between programs and the empathetic use of digital educational media also increased patient adherence to therapy. In conclusion, the implementation of Telemedicine with a Virtual Pharmacy Visit and Counseling Program, analyzed using the COM-B method at the Gayamsari Community Health Center in Semarang City, successfully implemented a form of telemedicine service called the KUFI LUWAK Program. This program is considered qualitatively effective and has the potential to be implemented elsewhere if supported by more structured policies and operational standards.</w:t>
      </w:r>
    </w:p>
    <w:p w14:paraId="7E263C35" w14:textId="77777777" w:rsidR="00677F61" w:rsidRPr="00320594" w:rsidRDefault="00677F61" w:rsidP="00F902A1">
      <w:pPr>
        <w:pStyle w:val="JFSIAbstractIsidanKeyword"/>
      </w:pPr>
    </w:p>
    <w:p w14:paraId="6BC95885" w14:textId="5ABB83C4" w:rsidR="006000C2" w:rsidRPr="00320594" w:rsidRDefault="00677F61" w:rsidP="00F902A1">
      <w:pPr>
        <w:pStyle w:val="JFSIAbstractIsidanKeyword"/>
      </w:pPr>
      <w:r w:rsidRPr="00320594">
        <w:t xml:space="preserve">Keywords: </w:t>
      </w:r>
      <w:r w:rsidR="00470460" w:rsidRPr="00470460">
        <w:t>COM-B, counseling, telemedicine, primary health center</w:t>
      </w:r>
    </w:p>
    <w:p w14:paraId="7414FCF7" w14:textId="77777777" w:rsidR="00F902A1" w:rsidRPr="00320594" w:rsidRDefault="00F902A1" w:rsidP="009577CC">
      <w:pPr>
        <w:jc w:val="both"/>
        <w:rPr>
          <w:i/>
          <w:iCs/>
        </w:rPr>
      </w:pPr>
    </w:p>
    <w:p w14:paraId="57F9A588" w14:textId="24D2DA00" w:rsidR="00677F61" w:rsidRPr="00320594" w:rsidRDefault="0004145B" w:rsidP="00F902A1">
      <w:pPr>
        <w:pStyle w:val="JFSIAbstrackJudul"/>
      </w:pPr>
      <w:r w:rsidRPr="00320594">
        <w:t>Intisari</w:t>
      </w:r>
    </w:p>
    <w:p w14:paraId="71A72A78" w14:textId="6DF4EFA5" w:rsidR="00470460" w:rsidRDefault="00470460" w:rsidP="00470460">
      <w:pPr>
        <w:pStyle w:val="JFSIAbstractIsidanKeyword"/>
      </w:pPr>
      <w:r>
        <w:lastRenderedPageBreak/>
        <w:t>Telemedisin merupakan salah satu metode untuk meningkatkan akses, kualitas, dan keamanan layanan kesehatan. Namun, penerapan telemedisin, terutama layanan telemedisin di fasilitas pelayanan kesehatan tingkat pertama seperti Puskesmas, masih belum dilakukan secara terstruktur dan teratur. Penelitian ini bertujuan menganalisis penerapan dan keberhasilan Program Kunjungan dan Konseling Farmasi Secara Virtual dengan pendekatan COM-B (Capability, Opportunity, Motivation–Behavior).</w:t>
      </w:r>
    </w:p>
    <w:p w14:paraId="351534A8" w14:textId="77777777" w:rsidR="00470460" w:rsidRDefault="00470460" w:rsidP="00470460">
      <w:pPr>
        <w:pStyle w:val="JFSIAbstractIsidanKeyword"/>
      </w:pPr>
      <w:r>
        <w:t>Penelitian ini menggunakan metode kualitatif deskriptif prospektif dengan pendekatan triangulasi. Pelaksanakan penelitian di Puskesmas Gayamsari Kota Semarang selama bulan September hingga Desember 2025. Informan dalam penelitian ini terdiri dari tiga apoteker yang langsung terlibat dalam pelaksanaan program inovatif penerapan telemedisin. Data dikumpulkan melalui wawancara mendalam dan Focus Group Discussion (FGD), menggunakan pedoman wawancara yang telah diverifikasi melalui penilaian oleh ahli. Analisis data dilakukan secara tematik berdasarkan kerangka COM-B.</w:t>
      </w:r>
    </w:p>
    <w:p w14:paraId="63566C31" w14:textId="0991DCA3" w:rsidR="00677F61" w:rsidRPr="00320594" w:rsidRDefault="00470460" w:rsidP="00470460">
      <w:pPr>
        <w:pStyle w:val="JFSIAbstractIsidanKeyword"/>
      </w:pPr>
      <w:r>
        <w:t>Hasil penelitian menunjukkan bahwa tenaga kefarmasian memiliki kemampuan yang cukup untuk melakukan konseling dan edukasi obat secara daring. Peluang penerapan telemedisin didukung oleh regulasi nasional, meskipun belum ada pedoman teknis operasional yang spesifik. Motivasi dari apoteker dan dukungan dari pimpinan Puskesmas menjadi faktor utama yang mendorong implementasi program tersebut. Penerapan KUFI LUWAK membuktikan bahwa akses layanan konseling farmasi meningkat, terlihat dari naiknya jumlah pasien dari rata-rata 10 pasien per bulan menjadi 47 pasien per bulan. Kolaborasi antar program serta penggunaan media edukasi digital secara empatik juga meningkatkan kepatuhan pasien terhadap terapi. Kesimpulannya bahwa penerapan Telemedisin dengan Program Kunjungan dan Konseling Farmasi Secara Virtual yang di analisis dengan metode COM-B di Puskesmas Gayamsari Kota Semarang berhasil menerapkan suatu bentuk layanan telemedisin dengan nama Program KUFI LUWAK dinilai efektif secara kualitatif dan memiliki potensi untuk diterapkan di tempat lain jika mendapat dukungan kebijakan dan standar operasional yang lebih terstruktur.</w:t>
      </w:r>
    </w:p>
    <w:p w14:paraId="058189D1" w14:textId="77777777" w:rsidR="00677F61" w:rsidRPr="00320594" w:rsidRDefault="00677F61" w:rsidP="00F902A1">
      <w:pPr>
        <w:pStyle w:val="JFSIAbstractIsidanKeyword"/>
      </w:pPr>
    </w:p>
    <w:p w14:paraId="5590CD9F" w14:textId="3076566E" w:rsidR="00677F61" w:rsidRPr="00320594" w:rsidRDefault="00677F61" w:rsidP="00F902A1">
      <w:pPr>
        <w:pStyle w:val="JFSIAbstractIsidanKeyword"/>
      </w:pPr>
      <w:r w:rsidRPr="00320594">
        <w:t xml:space="preserve">Kata kunci: </w:t>
      </w:r>
      <w:r w:rsidR="00470460">
        <w:t>COM-B,</w:t>
      </w:r>
      <w:r w:rsidR="00470460">
        <w:rPr>
          <w:spacing w:val="-4"/>
        </w:rPr>
        <w:t xml:space="preserve"> </w:t>
      </w:r>
      <w:r w:rsidR="00470460">
        <w:t>konseling,</w:t>
      </w:r>
      <w:r w:rsidR="00470460">
        <w:rPr>
          <w:spacing w:val="-4"/>
        </w:rPr>
        <w:t xml:space="preserve"> </w:t>
      </w:r>
      <w:r w:rsidR="00470460">
        <w:t xml:space="preserve">telemedisin, </w:t>
      </w:r>
      <w:r w:rsidR="00470460">
        <w:rPr>
          <w:spacing w:val="-2"/>
        </w:rPr>
        <w:t>puskesmas</w:t>
      </w:r>
    </w:p>
    <w:p w14:paraId="596F85C1" w14:textId="7158A532" w:rsidR="009577CC" w:rsidRPr="00320594" w:rsidRDefault="009577CC" w:rsidP="002A3E23">
      <w:pPr>
        <w:pBdr>
          <w:bottom w:val="single" w:sz="4" w:space="0" w:color="auto"/>
        </w:pBdr>
        <w:jc w:val="both"/>
      </w:pPr>
    </w:p>
    <w:p w14:paraId="70C67103" w14:textId="5174FE9E" w:rsidR="00162942" w:rsidRPr="00320594" w:rsidRDefault="00162942" w:rsidP="009577CC">
      <w:pPr>
        <w:jc w:val="both"/>
      </w:pPr>
    </w:p>
    <w:p w14:paraId="0A438B35" w14:textId="77777777" w:rsidR="000E739E" w:rsidRPr="00320594" w:rsidRDefault="000E739E" w:rsidP="00162942">
      <w:pPr>
        <w:pStyle w:val="ListParagraph"/>
        <w:numPr>
          <w:ilvl w:val="0"/>
          <w:numId w:val="1"/>
        </w:numPr>
        <w:ind w:left="426" w:hanging="426"/>
        <w:jc w:val="both"/>
        <w:sectPr w:rsidR="000E739E" w:rsidRPr="00320594" w:rsidSect="00896264">
          <w:headerReference w:type="even" r:id="rId9"/>
          <w:headerReference w:type="default" r:id="rId10"/>
          <w:footerReference w:type="even" r:id="rId11"/>
          <w:footerReference w:type="default" r:id="rId12"/>
          <w:headerReference w:type="first" r:id="rId13"/>
          <w:footerReference w:type="first" r:id="rId14"/>
          <w:pgSz w:w="11906" w:h="16838"/>
          <w:pgMar w:top="1418" w:right="907" w:bottom="1418" w:left="907" w:header="709" w:footer="709" w:gutter="0"/>
          <w:pgNumType w:start="185"/>
          <w:cols w:space="708"/>
          <w:titlePg/>
          <w:docGrid w:linePitch="360"/>
        </w:sectPr>
      </w:pPr>
    </w:p>
    <w:p w14:paraId="21C78434" w14:textId="7BE6E2EE" w:rsidR="000E739E" w:rsidRPr="00320594" w:rsidRDefault="006000C2" w:rsidP="008D7701">
      <w:pPr>
        <w:pStyle w:val="JFSIBAB"/>
      </w:pPr>
      <w:r w:rsidRPr="00320594">
        <w:t>Pendahuluan</w:t>
      </w:r>
    </w:p>
    <w:p w14:paraId="59A43C1A" w14:textId="37C39F94" w:rsidR="00470460" w:rsidRDefault="00470460" w:rsidP="00470460">
      <w:pPr>
        <w:pStyle w:val="JFSINormal"/>
      </w:pPr>
      <w:r>
        <w:t xml:space="preserve">Perkembangan teknologi informasi dan komunikasi telah mendorong perubahan dalam sistem layanan kesehatan dengan menerapkan telemedisin. Pemerintah Indonesia telah mengatur karena pentingnya penerapan telemedisin sesuai perkembangan era digital diperkuat secara hukum melalui Undang-Undang Nomor 17 Tahun 2023 tentang Kesehatan dan Peraturan Pemerintah Nomor 28 Tahun 2024. Undang-undang tersebut menyatakan (PP RI, 2024) bahwa penggunaan teknologi digital dalam pelayanan kesehatan termasuk bagian dari langkah meningkatkan akses, kualitas, dan keselamatan layanan kesehatan. Regulasi ini membuka kesempatan untuk menyelenggarakan layanan kesehatan jarak jauh, seperti konsultasi, pemantauan, dan edukasi pasien, yang dapat dilakukan secara non-tatap muka oleh tenaga kesehatan sesuai dengan wewenangnya (Maharani et al., 2024). Secara internasional, </w:t>
      </w:r>
      <w:r>
        <w:t>telemedisin sudah digunakan secara luas di berbagai negara, terutama pada layanan kesehatan dasar yang membantu pengelolaan penyakit berkepanjangan (Sabrina &amp; Defi, 2021). Jurnal internasional terbaru menunjukkan bahwa telemedisin digunakan dalam bentuk kunjungan virtual, konsultasi online, dan pemantauan terapi pasien di negara maju maupun negara berkembang (Olowoyo et al., 2025). Penelitian di dunia internasional menyatakan bahwa telemedisin membantu meningkatkan konsistensi layanan, efisiensi sistem kesehatan, serta kepuasan pasien, terutama dalam layanan konsultasi dan layanan kesehatan berbasis komunitas (Sarasmita et al., 2024).</w:t>
      </w:r>
    </w:p>
    <w:p w14:paraId="3A3CCBB9" w14:textId="77777777" w:rsidR="00470460" w:rsidRDefault="00470460" w:rsidP="00470460">
      <w:pPr>
        <w:pStyle w:val="JFSINormal"/>
      </w:pPr>
      <w:r>
        <w:t xml:space="preserve">Puskesmas memiliki dasar regulasi sebagai pelaksana telemedisin dengan pemanfaatan teknologi informasi dalam pelayanan kesehatan. Regulasi ini menegaskan bahwa Puskesmas sebagai fasilitas pelayanan kesehatan tingkat pertama berwenang menyelenggarakan layanan </w:t>
      </w:r>
      <w:r>
        <w:lastRenderedPageBreak/>
        <w:t>kesehatan jarak jauh untuk meningkatkan akses, mutu, dan keselamatan pelayanan kesehatan masyarakat (Reginata &amp; Noviani, 2025). Kenyataan yang ada saat ini bahwa penggunaan treatment telemedisin di Indonesia, terutama di fasilitas layanan kesehatan tingkat pertama seperti Puskesmas (Prima et al., 2025), masih belum optimal dan terstruktur. Berbagai publikasi nasional menunjukkan bahwa pemanfaatan telemedisin di Indonesia masih rendah, belum memiliki standar kerja yang sama, dan lebih banyak dilakukan melalui inisiatif lokal atau platform swasta (Salsabila et al., 2024). Hingga kini, belum ada model yang tetap untuk menerapkan telemedisin di Puskesmas, terutama dalam layanan kunjungan dan konseling farmasi secara virtual, meskipun regulasi telah mendukung pelaksanaannya (Triana et al., 2023).</w:t>
      </w:r>
    </w:p>
    <w:p w14:paraId="49605891" w14:textId="77777777" w:rsidR="00470460" w:rsidRDefault="00470460" w:rsidP="00470460">
      <w:pPr>
        <w:pStyle w:val="JFSINormal"/>
      </w:pPr>
      <w:r>
        <w:t>Beberapa penelitian sebelumnya menunjukkan bahwa telemedisin efektif dalam menunjang keberhasilan terapi pasien, terutama untuk meningkatkan kepatuhan minum obat, pemantauan pengobatan, dan pemahaman pasien terhadap penggunaan obat (Naim et al., 2023). Studi nasional dan internasional melaporkan bahwa intervensi telemedisin, termasuk konseling farmasi jarak jauh, dapat meningkatkan kepatuhan pasien, mengurangi risiko kesalahan penggunaan obat, dan meningkatkan hasil klinis (Imam et al., 2024).</w:t>
      </w:r>
    </w:p>
    <w:p w14:paraId="10327CC8" w14:textId="77777777" w:rsidR="00470460" w:rsidRDefault="00470460" w:rsidP="00470460">
      <w:pPr>
        <w:pStyle w:val="JFSINormal"/>
      </w:pPr>
      <w:r>
        <w:t>Dalam sistem layanan kesehatan Indonesia, Puskesmas memiliki peran sangat penting sebagai ujung tombak pelayanan kesehatan masyarakat yang mencakup kegiatan promosi, pencegahan, pengobatan, dan pemulihan (Digambiro et al., 2025). Dengan mandat dari pemerintah tersebut, Puskesmas memiliki potensi besar untuk mengembangkan telemedisin sebagai inovasi layanan, termasuk melalui program kunjungan dan konseling farmasi secara virtual guna meningkatkan kualitas pengobatan dan keselamatan pasien (DPR RI, 2023).</w:t>
      </w:r>
    </w:p>
    <w:p w14:paraId="71234FAB" w14:textId="7DC72166" w:rsidR="00470460" w:rsidRDefault="00470460" w:rsidP="00470460">
      <w:pPr>
        <w:pStyle w:val="JFSINormal"/>
      </w:pPr>
      <w:r>
        <w:t xml:space="preserve">Di Provinsi Jawa Tengah, termasuk Kota Semarang, upaya transformasi digital kesehatan sedang dikembangkan melalui pemanfaatan teknologi informasi dalam layanan kesehatan pengetahuan, sikap, kepercayaan, aksesbilitas, peran lingkungan sekitar, termasuk sarana kesehatan (Siboro et al., 2021). Pada sisi pelaksana telemedisin sendiri para tenaga kefarmasian sebagian besar telah memiliki pengetahuan, </w:t>
      </w:r>
      <w:r>
        <w:t>persepsi positif, dan kesiapan untuk menerapkan telemedisin, namun masih terdapat kekhawatiran terkait peningkatan beban kerja tenaga kesehatan dan kurangnya insentif. Oleh karena itu, integrasi model praktik telemedisin dalam program pendidikan dan pelatihan apoteker diperlukan untuk memastikan kesiapan kompetensi di masa depan (Wathoni et al., 2023).</w:t>
      </w:r>
    </w:p>
    <w:p w14:paraId="72B456D8" w14:textId="77777777" w:rsidR="00470460" w:rsidRDefault="00470460" w:rsidP="00470460">
      <w:pPr>
        <w:pStyle w:val="JFSINormal"/>
      </w:pPr>
      <w:r>
        <w:t>Namun, penerapan telemedisin di tingkat Puskesmas masih menghadapi berbagai tantangan, seperti keterbatasan sistem yang terpadu, sumber daya manusia, serta petunjuk operasional (Wardhani et al., 2025). Metode yang digunakan untuk analisis penerapan program pada penelitian oleh (Irvine et al., 2024) menunjukkan bahwa model COM-B mampu mengidentifikasi faktor-faktor seperti kemampuan, kesempatan, dan motivasi yang memengaruhi keberhasilan intervensi kesehatan berbasis komunitas. Di sisi lain, penelitian (Suwanbamrung et al., 2024) membuktikan bahwa model COM-B juga efektif dalam menilai tingkat penerimaan dan kepatuhan terhadap intervensi kesehatan di layanan kesehatan publik. Maka dari itu, menggunakan metode COM-B dalam penelitian tentang penerapan telemedisin dengan program kunjungan dan konseling farmasi secara virtual di Puskesmas sangat relevan, karena bisa digunakan untuk mengevaluasi kesiapan tenaga kefarmasian, dukungan sistem, serta motivasi para profesional dalam mendorong perubahan perilaku pelayanan kefarmasian berbasis telemedisin.</w:t>
      </w:r>
    </w:p>
    <w:p w14:paraId="08FD37AA" w14:textId="02369FDE" w:rsidR="002A3E23" w:rsidRDefault="00470460" w:rsidP="00470460">
      <w:pPr>
        <w:pStyle w:val="JFSINormal"/>
      </w:pPr>
      <w:r>
        <w:t>Maka penelitian ini akan mengungkap penerapan yang telah dilakukan pada puskesmas sebagai sarana pelayanan kesehatan untuk menggambarkan bagaimana penerapan telemedisin dengan Program Kunjungan dan Konseling Farmasi Secara Virtual dengan Metode (Capability, Opportunity, Motivation - Behaviour) COM-B di Puskesmas Gayamsari Kota Semarang.</w:t>
      </w:r>
    </w:p>
    <w:p w14:paraId="2C2CF60C" w14:textId="77777777" w:rsidR="002A3E23" w:rsidRPr="00320594" w:rsidRDefault="002A3E23" w:rsidP="000E739E">
      <w:pPr>
        <w:pStyle w:val="ListParagraph"/>
        <w:ind w:left="426"/>
        <w:jc w:val="both"/>
      </w:pPr>
    </w:p>
    <w:p w14:paraId="062FFFF8" w14:textId="52ED270C" w:rsidR="000E739E" w:rsidRPr="00320594" w:rsidRDefault="006000C2" w:rsidP="008D7701">
      <w:pPr>
        <w:pStyle w:val="JFSIBAB"/>
      </w:pPr>
      <w:r w:rsidRPr="00320594">
        <w:t>Metode</w:t>
      </w:r>
      <w:r w:rsidR="00E953F8" w:rsidRPr="00320594">
        <w:t xml:space="preserve"> Penelitian</w:t>
      </w:r>
    </w:p>
    <w:p w14:paraId="47DE9295" w14:textId="77777777" w:rsidR="00470460" w:rsidRDefault="00470460" w:rsidP="00470460">
      <w:pPr>
        <w:pStyle w:val="JFSINormal"/>
      </w:pPr>
      <w:r>
        <w:t xml:space="preserve">Penelitian ini merupakan penelitian kualitatif deskriptif prospektif yang menggunakan pendekatan triangulasi sumber. Pendekatan kualitatif dipilih agar dapat memahami secara mendalam tentang penerapan telemedisin, terutama program kunjungan dan konseling farmasi secara virtual di Puskesmas. Penelitian ini </w:t>
      </w:r>
      <w:r>
        <w:lastRenderedPageBreak/>
        <w:t>dilaksanakan di Puskesmas Gayamsari Kota Semarang September hingga Desember 2025.</w:t>
      </w:r>
    </w:p>
    <w:p w14:paraId="3980F40C" w14:textId="51B19BA6" w:rsidR="00470460" w:rsidRDefault="00470460" w:rsidP="00470460">
      <w:pPr>
        <w:pStyle w:val="JFSINormal"/>
      </w:pPr>
      <w:r>
        <w:t>Informan dalam penelitian ini terdiri dari 3 orang apoteker yang bekerja di Instalasi Farmasi Puskesmas Gayamsari Kota Semarang. Mereka dipilih karena secara langsung terlibat dalam pelayanan farmasi dan penggunaan layanan berbasis telemedisin.</w:t>
      </w:r>
    </w:p>
    <w:p w14:paraId="231F4628" w14:textId="77777777" w:rsidR="00470460" w:rsidRDefault="00470460" w:rsidP="00470460">
      <w:pPr>
        <w:pStyle w:val="JFSINormal"/>
      </w:pPr>
      <w:r>
        <w:t>Teknik pengumpulan data dilakukan melalui wawancara mendalam dengan menggunakan kuesioner terstruktur dan semi-terbuka. Instrumen wawancara telah mengalami uji validitas konten (content validity) (Reginata &amp; Noviani, 2025) dengan metode penilaian oleh para ahli di bidang kefarmasian dan akademisi dalam bidang farmasi sosial untuk analisis penerapan program dan regulasi telemedisin.</w:t>
      </w:r>
    </w:p>
    <w:p w14:paraId="515660D6" w14:textId="25AD106A" w:rsidR="00097730" w:rsidRPr="00320594" w:rsidRDefault="00470460" w:rsidP="00470460">
      <w:pPr>
        <w:pStyle w:val="JFSINormal"/>
      </w:pPr>
      <w:r>
        <w:t>Teknik analisis data menggunakan pendekatan kualitatif dengan tahapan yaitu wawancara mendalam, Focus Group Discussion, penerapan program dan analisis kualitatif penerapan Program Kunjungan dan Konseling Farmasi Secara Virtual. Proses analisis dilakukan secara bersamaan selama dan setelah pengumpulan data dilakukan. Uji keabsahan data dilakukan dengan metode triangulasi sumber, yaitu dengan membandingkan informasi dari setiap informan untuk memastikan konsistensi dan keandalan data.</w:t>
      </w:r>
    </w:p>
    <w:p w14:paraId="0C8E6BB7" w14:textId="25BA2DAA" w:rsidR="00097730" w:rsidRPr="00320594" w:rsidRDefault="00097730" w:rsidP="00097730">
      <w:pPr>
        <w:ind w:firstLine="426"/>
        <w:jc w:val="both"/>
      </w:pPr>
    </w:p>
    <w:p w14:paraId="5B36EDAE" w14:textId="37993AFB" w:rsidR="007003C6" w:rsidRPr="00320594" w:rsidRDefault="008D7701" w:rsidP="008D7701">
      <w:pPr>
        <w:pStyle w:val="JFSIBAB"/>
      </w:pPr>
      <w:r w:rsidRPr="00320594">
        <w:t>Hasil dan Pembahasan</w:t>
      </w:r>
    </w:p>
    <w:p w14:paraId="6FF58FF1" w14:textId="7AAB7C64" w:rsidR="00470460" w:rsidRDefault="00470460" w:rsidP="00470460">
      <w:pPr>
        <w:pStyle w:val="JFSINormal"/>
      </w:pPr>
      <w:r>
        <w:t xml:space="preserve">Pada penelitian dilakukan uji untuk instrumen yang digunakan terlebih dahulu. Hasil uji validitas konten untuk lembar wawancara yang digunakan sebagai alat penelitian disusun berdasarkan tujuan penelitian dan kerangka konsep telemedisin, khususnya dalam hal penerapan layanan, persepsi tenaga kefarmasian, hambatan yang dihadapi, serta dampak terhadap keselamatan pasien dan kepatuhan terapi. Proses ini memastikan kualitas instrumen, dilakukan uji validitas konten dengan meminta pendapat para ahli di bidang kefarmasian dan pelayanan kesehatan primer. Para ahli mengevaluasi apakah pertanyaan dalam lembar wawancara relevan dengan tujuan penelitian, jelas dalam penyampaiannya, sesuai dengan konteks pelayanan di Puskesmas, serta mencakup semua aspek yang penting. Saran dari para ahli digunakan untuk menyempurnakan lembar wawancara, seperti memperjelas istilah-istilah teknis, menghindari pertanyaan yang membingungkan, </w:t>
      </w:r>
      <w:r>
        <w:t>dan memastikan alur pertanyaan dapat menggali informasi secara mendalam dan bermakna sesuai dengan konteks praktik telemedisin. Teknik pengumpulan data dilakukan melalui wawancara mendalam  yang  dilakukan  secara  progresif terhadap tiga apoteker yang bekerja di Instalasi Farmasi Puskesmas Gayamsari, Kota Semarang. Wawancara dilakukan secara tatap muka sesuai dengan ketersediaan waktu para informan. Setiap sesi wawancara berlangsung selama 30 hingga 60 menit, dilaksanakan dalam suasana yang nyaman dan rahasia untuk menjaga kenyamanan serta privasi informan. Seluruh proses wawancara direkam (dengan mendapatkan persetujuan informan) dan disertai catatan lapangan untuk menangkap informasi non-verbal serta situasi di lapangan seperti penelitian sebelumnya (Permana et al., 2025).</w:t>
      </w:r>
    </w:p>
    <w:p w14:paraId="18C8168C" w14:textId="3A9FFE2C" w:rsidR="007003C6" w:rsidRDefault="00470460" w:rsidP="00470460">
      <w:pPr>
        <w:pStyle w:val="JFSINormal"/>
      </w:pPr>
      <w:r>
        <w:t>Hasil wawancara kemudian ditulis ulang secara verbatim. Transkripsi dilakukan untuk mempertahankan integritas data kualitatif dan mengurangi kemungkinan bias peneliti dalam interpretasi awal. Analisis data dilakukan dengan pendekatan analisis tematik untuk mengidentifikasi pernyataan yang relevan dengan fokus penelitian yang kemudian dirumuskan menjadi tema utama. Tema yang ditemukan meliputi pemahaman apoteker terhadap telemedisin, mekanisme penerapan layanan, manfaat bagi pasien dan tenaga kefarmasian, serta kendala dan peluang pengembangan layanan.</w:t>
      </w:r>
    </w:p>
    <w:p w14:paraId="3A50DB94" w14:textId="77777777" w:rsidR="005B0B0C" w:rsidRDefault="005B0B0C" w:rsidP="005B0B0C">
      <w:pPr>
        <w:pStyle w:val="JFSINormal"/>
      </w:pPr>
      <w:r>
        <w:t xml:space="preserve">Tabel 1. menyajikan rangkuman hasil wawancara informan yang dianalisis dan dikelompokkan berdasarkan komponen Capability (kapabilitas), Opportunity (peluang), dan Motivation (motivasi) yang memengaruhi perilaku (Behaviour) dalam penerapan suatu program atau intervensi, seperti telemedisin atau telemedisin. Peluang yang dipahami oleh semua informan yakni adanya dukungan aturan nasional terhadap telemedisin, tetapi belum ada panduan teknis dan standard operating procedure (SOP) yang jelas, sehingga penerapannya masih bergantung pada inisiatif lokal. Berdasarkan kemampuan tenaga kefarmasian memiliki kemampuan teknis dan profesional yang cukup untuk menjalankan telemedisin sederhana, seperti konseling jarak jauh dan pendidikan melalui digital. Pada motivasi yaitu niat para apoteker sangat tinggi, didorong oleh tanggung jawab profesi, keamanan pasien, serta </w:t>
      </w:r>
      <w:r>
        <w:lastRenderedPageBreak/>
        <w:t>kebutuhan untuk memperluas akses layanan. Faktor perilaku bahwa untuk penerapan telemedisin difokuskan pada pasien prioritas, seperti mereka yang menderita penyakit kronis, memerlukan terapi jangka panjang, atau mengalami keterbatasan akses, dengan dukungan dari pemimpin dan kebutuhan daerah sebagai faktor utama yang mendorong.</w:t>
      </w:r>
    </w:p>
    <w:p w14:paraId="4B049B2D" w14:textId="77777777" w:rsidR="005B0B0C" w:rsidRDefault="005B0B0C" w:rsidP="005B0B0C">
      <w:pPr>
        <w:pStyle w:val="JFSINormal"/>
      </w:pPr>
      <w:r>
        <w:t>Selanjutnya hasil wawancara dan Focus Group Discussion (FGD) dilakukan perencanaan bentuk Program Kunjungan dan Konseling Farmasi Secara Virtual sebagai bentuk inovasi penerapan telemedisin sesuai jurnal yang diacu (Royce et al., 2024). Penerapan telemedisin melalui inovasi yang bernama KUFI LUWAK (Kunjungan dan Konseling Farmasi Lewat WhatsApp) di Puskesmas Gayamsari Kota Semarang yang menunjukkan upaya adaptasi dalam memberikan layanan kefarmasian menghadapi keterbatasan sumber daya dan kesulitan akses layanan kesehatan. Program ini menggunakan teknologi komunikasi yang sederhana yaitu WhatsApp sebagai sarana konseling farmasi. Meskipun demikian, program ini tetap menjaga prinsip utama konseling farmasi, yaitu komunikasi dua arah dan keprivatisan antara apoteker dan pasien. Secara konseptual, konseling farmasi berbeda dengan Penyerahan Informasi Obat (PIO).</w:t>
      </w:r>
    </w:p>
    <w:p w14:paraId="11DD6100" w14:textId="7224BBCC" w:rsidR="005B0B0C" w:rsidRDefault="005B0B0C" w:rsidP="005B0B0C">
      <w:pPr>
        <w:pStyle w:val="JFSINormal"/>
      </w:pPr>
      <w:r>
        <w:t>Inovasi telemedisin berupa program KUFI LUWAK dibuat dengan bekerja sama antarprogram dan antarperan, terutama dengan Tim PTM (Penyakit Tidak Menular), kader POKSILA setempat, serta Tim POKSILA (Posyandu Lansia). Kerja sama ini dilakukan dengan memanfaatkan data hasil pemeriksaan kesehatan, seperti Gula Darah Sewaktu (GDS) dan Tekanan Darah (TD), sebagai dasar untuk konseling dan pemantauan terapi yang dilakukan oleh apoteker. Data tersebut diberikan kepada apoteker agar proses konseling farmasi bisa lebih tepat sasaran dan disesuaikan dengan kondisi klinis pasien. Program diisi dengan pendekatan edukatif, apoteker bersama tim membuat flyer digital yang berisi informasi tentang cara minum obat dengan benar, penjelasan mengenai obat, serta pemahaman tentang penyakit yang</w:t>
      </w:r>
      <w:r>
        <w:tab/>
        <w:t xml:space="preserve">diderita pasien. Materi edukasi ini disampaikan ke pasien melalui pesan WhatsApp agar bisa dibaca berulang dan lebih mudah dipahami. Pendekatan ini dilakukan dengan penuh empati dan tanggung jawab, meskipun dilakukan </w:t>
      </w:r>
      <w:r>
        <w:t>dari jarak jauh sesuai dengan jurnal sebelumnya (Jacome-hortua et al., 2024), karena area kerja Puskesmas Gayamsari cukup luas, mencakup 7 kelurahan dengan total penduduk sekitar 75.181 orang.</w:t>
      </w:r>
    </w:p>
    <w:p w14:paraId="74DEF1BF" w14:textId="77777777" w:rsidR="005B0B0C" w:rsidRDefault="005B0B0C" w:rsidP="005B0B0C">
      <w:pPr>
        <w:pStyle w:val="JFSINormal"/>
      </w:pPr>
      <w:r>
        <w:t>Kerja sama ini menunjukkan bahwa dengan memadukan peran apoteker, tim kesehatan, dan kader masyarakat melalui media digital sederhana, penerapan telemedisin di tingkat Puskesmas bisa lebih kuat. Pendekatan ini tidak hanya memperluas cakupan layanan konseling farmasi, tetapi juga memperkuat pemantauan terapi dan kepatuhan minum obat pada masyarakat yang kesulitan mengakses layanan kesehatan langsung.</w:t>
      </w:r>
    </w:p>
    <w:p w14:paraId="27ED27CC" w14:textId="77777777" w:rsidR="005B0B0C" w:rsidRDefault="005B0B0C" w:rsidP="005B0B0C">
      <w:pPr>
        <w:pStyle w:val="JFSINormal"/>
      </w:pPr>
      <w:r>
        <w:t>Konseling membutuhkan interaksi yang lebih mendalam dan pribadi agar bisa menggali permasalahan terapi, kepatuhan obat, dan pemahaman pasien. Dengan program KUFI LUWAK, keprivatisan ini bisa tercapai karena komunikasi dilakukan secara langsung antara pasien dan apoteker melalui pesan pribadi di WhatsApp. Oleh karena itu, inovasi ini dapat disebut sebagai bentuk telemedisin, yaitu layanan kefarmasian jarak jauh yang memakai teknologi informasi dan komunikasi.</w:t>
      </w:r>
    </w:p>
    <w:p w14:paraId="06864D6A" w14:textId="441DBB71" w:rsidR="007003C6" w:rsidRPr="00320594" w:rsidRDefault="005B0B0C" w:rsidP="0094389E">
      <w:pPr>
        <w:pStyle w:val="JFSINormal"/>
      </w:pPr>
      <w:r>
        <w:t xml:space="preserve">Keunikan utama dari layanan telemedisin KUFI LUWAK adalah penggabungan beberapa layanan seperti follow up pasien home care, konseling farmasi, dan konsultasi daring dalam satu jalur. Hal ini berbeda dengan cara kerja konvensional yang biasanya memisahkan layanan home care dan konseling, serta masih mengandalkan kehadiran fisik apoteker di fasilitas pelayanan. Inovasi ini menjadi solusi untuk mengatasi keterbatasan jumlah apoteker di Puskesmas Gayamsari, yang hanya memiliki satu apoteker untuk melayani wilayah yang luas, terdiri dari empat puskesmas pembantu. Dari segi pelaksanaan, layanan telemedisin KUFI LUWAK dijalankan dengan prosedur yang cukup sederhana namun teratur. Proses dimulai dari sosialisasi layanan konsultasi obat lewat WhatsApp kepada masyarakat, seleksi pasien berisiko tinggi seperti lansia yang memiliki gula darah dan tekanan darah tinggi, hingga tindak lanjut home care serta follow up terapi secara daring. Pasien juga dianjurkan datang ke puskesmas jika kebutuhan konsultasi mengarah pada kondisi yang memerlukan pemeriksaan klinis lebih lanjut. Hal ini menunjukkan bahwa telemedisin dalam KUFI </w:t>
      </w:r>
      <w:r>
        <w:lastRenderedPageBreak/>
        <w:t>LUWAK tidak menggantikan layanan tatap muka, tetapi bertindak sebagai pelengkap yang memperkuat kelanjutan pelayanan dan diharapkan kepatuhan pasien dalam terapi obat untuk keberhasilan pengobatan.</w:t>
      </w:r>
    </w:p>
    <w:tbl>
      <w:tblPr>
        <w:tblStyle w:val="TableGrid"/>
        <w:tblpPr w:leftFromText="181" w:rightFromText="181" w:horzAnchor="margin" w:tblpYSpec="bottom"/>
        <w:tblOverlap w:val="never"/>
        <w:tblW w:w="10321" w:type="pct"/>
        <w:tblLook w:val="04A0" w:firstRow="1" w:lastRow="0" w:firstColumn="1" w:lastColumn="0" w:noHBand="0" w:noVBand="1"/>
      </w:tblPr>
      <w:tblGrid>
        <w:gridCol w:w="1220"/>
        <w:gridCol w:w="1206"/>
        <w:gridCol w:w="1701"/>
        <w:gridCol w:w="1701"/>
        <w:gridCol w:w="1701"/>
        <w:gridCol w:w="2536"/>
      </w:tblGrid>
      <w:tr w:rsidR="00470460" w:rsidRPr="00320594" w14:paraId="300F1DAD" w14:textId="11BEB257" w:rsidTr="005B0B0C">
        <w:tc>
          <w:tcPr>
            <w:tcW w:w="5000" w:type="pct"/>
            <w:gridSpan w:val="6"/>
            <w:tcBorders>
              <w:top w:val="nil"/>
              <w:left w:val="nil"/>
              <w:bottom w:val="single" w:sz="4" w:space="0" w:color="auto"/>
              <w:right w:val="nil"/>
            </w:tcBorders>
          </w:tcPr>
          <w:p w14:paraId="5BCC7B4F" w14:textId="391A514E" w:rsidR="00470460" w:rsidRPr="00320594" w:rsidRDefault="005B0B0C" w:rsidP="00470460">
            <w:pPr>
              <w:pStyle w:val="JFSIJudulTabel"/>
              <w:ind w:left="748" w:hanging="782"/>
            </w:pPr>
            <w:r>
              <w:t xml:space="preserve">Summary dengan konstruk </w:t>
            </w:r>
            <w:r w:rsidRPr="005B0B0C">
              <w:rPr>
                <w:i/>
                <w:iCs/>
              </w:rPr>
              <w:t>COM-B</w:t>
            </w:r>
          </w:p>
        </w:tc>
      </w:tr>
      <w:tr w:rsidR="00470460" w:rsidRPr="00320594" w14:paraId="78435644" w14:textId="4EA37F62" w:rsidTr="005B0B0C">
        <w:tc>
          <w:tcPr>
            <w:tcW w:w="606" w:type="pct"/>
            <w:tcBorders>
              <w:top w:val="single" w:sz="4" w:space="0" w:color="auto"/>
              <w:left w:val="nil"/>
              <w:bottom w:val="single" w:sz="4" w:space="0" w:color="auto"/>
              <w:right w:val="nil"/>
            </w:tcBorders>
            <w:vAlign w:val="center"/>
          </w:tcPr>
          <w:p w14:paraId="4EF23C5B" w14:textId="498C7CD6" w:rsidR="00470460" w:rsidRPr="005B0B0C" w:rsidRDefault="00470460" w:rsidP="005B0B0C">
            <w:pPr>
              <w:jc w:val="center"/>
              <w:rPr>
                <w:b/>
                <w:bCs/>
                <w:i/>
                <w:iCs/>
                <w:sz w:val="18"/>
                <w:szCs w:val="18"/>
              </w:rPr>
            </w:pPr>
            <w:r w:rsidRPr="005B0B0C">
              <w:rPr>
                <w:b/>
                <w:bCs/>
                <w:i/>
                <w:iCs/>
                <w:sz w:val="18"/>
                <w:szCs w:val="18"/>
              </w:rPr>
              <w:t>COM-B Component</w:t>
            </w:r>
          </w:p>
        </w:tc>
        <w:tc>
          <w:tcPr>
            <w:tcW w:w="599" w:type="pct"/>
            <w:tcBorders>
              <w:top w:val="single" w:sz="4" w:space="0" w:color="auto"/>
              <w:left w:val="nil"/>
              <w:bottom w:val="single" w:sz="4" w:space="0" w:color="auto"/>
              <w:right w:val="nil"/>
            </w:tcBorders>
            <w:vAlign w:val="center"/>
          </w:tcPr>
          <w:p w14:paraId="3E0245FA" w14:textId="1CA261E4" w:rsidR="00470460" w:rsidRPr="005B0B0C" w:rsidRDefault="00470460" w:rsidP="005B0B0C">
            <w:pPr>
              <w:jc w:val="center"/>
              <w:rPr>
                <w:b/>
                <w:bCs/>
                <w:sz w:val="18"/>
                <w:szCs w:val="18"/>
              </w:rPr>
            </w:pPr>
            <w:r w:rsidRPr="005B0B0C">
              <w:rPr>
                <w:b/>
                <w:bCs/>
                <w:sz w:val="18"/>
                <w:szCs w:val="18"/>
              </w:rPr>
              <w:t>Pertanyaan</w:t>
            </w:r>
          </w:p>
        </w:tc>
        <w:tc>
          <w:tcPr>
            <w:tcW w:w="845" w:type="pct"/>
            <w:tcBorders>
              <w:top w:val="single" w:sz="4" w:space="0" w:color="auto"/>
              <w:left w:val="nil"/>
              <w:bottom w:val="single" w:sz="4" w:space="0" w:color="auto"/>
              <w:right w:val="nil"/>
            </w:tcBorders>
            <w:vAlign w:val="center"/>
          </w:tcPr>
          <w:p w14:paraId="6928848D" w14:textId="537CBAC6" w:rsidR="00470460" w:rsidRPr="005B0B0C" w:rsidRDefault="00470460" w:rsidP="005B0B0C">
            <w:pPr>
              <w:jc w:val="center"/>
              <w:rPr>
                <w:b/>
                <w:bCs/>
                <w:sz w:val="18"/>
                <w:szCs w:val="18"/>
              </w:rPr>
            </w:pPr>
            <w:r w:rsidRPr="005B0B0C">
              <w:rPr>
                <w:b/>
                <w:bCs/>
                <w:sz w:val="18"/>
                <w:szCs w:val="18"/>
              </w:rPr>
              <w:t>Apoteker 1</w:t>
            </w:r>
          </w:p>
        </w:tc>
        <w:tc>
          <w:tcPr>
            <w:tcW w:w="845" w:type="pct"/>
            <w:tcBorders>
              <w:top w:val="single" w:sz="4" w:space="0" w:color="auto"/>
              <w:left w:val="nil"/>
              <w:bottom w:val="single" w:sz="4" w:space="0" w:color="auto"/>
              <w:right w:val="nil"/>
            </w:tcBorders>
            <w:vAlign w:val="center"/>
          </w:tcPr>
          <w:p w14:paraId="5D54A993" w14:textId="5F7921FA" w:rsidR="00470460" w:rsidRPr="005B0B0C" w:rsidRDefault="00470460" w:rsidP="005B0B0C">
            <w:pPr>
              <w:jc w:val="center"/>
              <w:rPr>
                <w:b/>
                <w:bCs/>
                <w:sz w:val="18"/>
                <w:szCs w:val="18"/>
              </w:rPr>
            </w:pPr>
            <w:r w:rsidRPr="005B0B0C">
              <w:rPr>
                <w:b/>
                <w:bCs/>
                <w:sz w:val="18"/>
                <w:szCs w:val="18"/>
              </w:rPr>
              <w:t>Apoteker 2</w:t>
            </w:r>
          </w:p>
        </w:tc>
        <w:tc>
          <w:tcPr>
            <w:tcW w:w="845" w:type="pct"/>
            <w:tcBorders>
              <w:top w:val="single" w:sz="4" w:space="0" w:color="auto"/>
              <w:left w:val="nil"/>
              <w:bottom w:val="single" w:sz="4" w:space="0" w:color="auto"/>
              <w:right w:val="nil"/>
            </w:tcBorders>
            <w:vAlign w:val="center"/>
          </w:tcPr>
          <w:p w14:paraId="332721E7" w14:textId="56057361" w:rsidR="00470460" w:rsidRPr="005B0B0C" w:rsidRDefault="00470460" w:rsidP="005B0B0C">
            <w:pPr>
              <w:jc w:val="center"/>
              <w:rPr>
                <w:b/>
                <w:bCs/>
                <w:sz w:val="18"/>
                <w:szCs w:val="18"/>
              </w:rPr>
            </w:pPr>
            <w:r w:rsidRPr="005B0B0C">
              <w:rPr>
                <w:b/>
                <w:bCs/>
                <w:sz w:val="18"/>
                <w:szCs w:val="18"/>
              </w:rPr>
              <w:t>Apoteker 3</w:t>
            </w:r>
          </w:p>
        </w:tc>
        <w:tc>
          <w:tcPr>
            <w:tcW w:w="1262" w:type="pct"/>
            <w:tcBorders>
              <w:top w:val="single" w:sz="4" w:space="0" w:color="auto"/>
              <w:left w:val="nil"/>
              <w:bottom w:val="single" w:sz="4" w:space="0" w:color="auto"/>
              <w:right w:val="nil"/>
            </w:tcBorders>
            <w:vAlign w:val="center"/>
          </w:tcPr>
          <w:p w14:paraId="715AABD7" w14:textId="03C61265" w:rsidR="00470460" w:rsidRPr="005B0B0C" w:rsidRDefault="00470460" w:rsidP="005B0B0C">
            <w:pPr>
              <w:jc w:val="center"/>
              <w:rPr>
                <w:b/>
                <w:bCs/>
                <w:sz w:val="18"/>
                <w:szCs w:val="18"/>
              </w:rPr>
            </w:pPr>
            <w:r w:rsidRPr="005B0B0C">
              <w:rPr>
                <w:b/>
                <w:bCs/>
                <w:sz w:val="18"/>
                <w:szCs w:val="18"/>
              </w:rPr>
              <w:t>Ringkasan Tematik</w:t>
            </w:r>
          </w:p>
        </w:tc>
      </w:tr>
      <w:tr w:rsidR="00470460" w:rsidRPr="00320594" w14:paraId="48CB4CD2" w14:textId="3E7F3DC2" w:rsidTr="005B0B0C">
        <w:tc>
          <w:tcPr>
            <w:tcW w:w="606" w:type="pct"/>
            <w:tcBorders>
              <w:top w:val="single" w:sz="4" w:space="0" w:color="auto"/>
              <w:left w:val="nil"/>
              <w:bottom w:val="nil"/>
              <w:right w:val="nil"/>
            </w:tcBorders>
          </w:tcPr>
          <w:p w14:paraId="4A5175B9" w14:textId="7AF44C61" w:rsidR="00470460" w:rsidRPr="005B0B0C" w:rsidRDefault="00470460" w:rsidP="00F0378E">
            <w:pPr>
              <w:jc w:val="center"/>
              <w:rPr>
                <w:b/>
                <w:bCs/>
                <w:i/>
                <w:iCs/>
                <w:sz w:val="18"/>
                <w:szCs w:val="18"/>
              </w:rPr>
            </w:pPr>
            <w:r w:rsidRPr="005B0B0C">
              <w:rPr>
                <w:b/>
                <w:bCs/>
                <w:i/>
                <w:iCs/>
                <w:sz w:val="18"/>
                <w:szCs w:val="18"/>
              </w:rPr>
              <w:t>Opportunity</w:t>
            </w:r>
          </w:p>
        </w:tc>
        <w:tc>
          <w:tcPr>
            <w:tcW w:w="599" w:type="pct"/>
            <w:tcBorders>
              <w:top w:val="single" w:sz="4" w:space="0" w:color="auto"/>
              <w:left w:val="nil"/>
              <w:bottom w:val="nil"/>
              <w:right w:val="nil"/>
            </w:tcBorders>
          </w:tcPr>
          <w:p w14:paraId="321E2056" w14:textId="3CE243F8" w:rsidR="00470460" w:rsidRPr="005B0B0C" w:rsidRDefault="004632D5" w:rsidP="004632D5">
            <w:pPr>
              <w:jc w:val="both"/>
              <w:rPr>
                <w:sz w:val="18"/>
                <w:szCs w:val="18"/>
              </w:rPr>
            </w:pPr>
            <w:r w:rsidRPr="005B0B0C">
              <w:rPr>
                <w:sz w:val="18"/>
                <w:szCs w:val="18"/>
              </w:rPr>
              <w:t>Pemahaman peluang telemedisin dalam regulasi</w:t>
            </w:r>
          </w:p>
        </w:tc>
        <w:tc>
          <w:tcPr>
            <w:tcW w:w="845" w:type="pct"/>
            <w:tcBorders>
              <w:top w:val="single" w:sz="4" w:space="0" w:color="auto"/>
              <w:left w:val="nil"/>
              <w:bottom w:val="nil"/>
              <w:right w:val="nil"/>
            </w:tcBorders>
          </w:tcPr>
          <w:p w14:paraId="7A87EC7A" w14:textId="48E5CB3F" w:rsidR="00470460" w:rsidRPr="005B0B0C" w:rsidRDefault="004632D5" w:rsidP="004632D5">
            <w:pPr>
              <w:jc w:val="both"/>
              <w:rPr>
                <w:sz w:val="18"/>
                <w:szCs w:val="18"/>
              </w:rPr>
            </w:pPr>
            <w:r w:rsidRPr="005B0B0C">
              <w:rPr>
                <w:sz w:val="18"/>
                <w:szCs w:val="18"/>
              </w:rPr>
              <w:t>Mengetahui adanya dasar hukum telemedisin dalam UU kesehatan terbaru</w:t>
            </w:r>
          </w:p>
        </w:tc>
        <w:tc>
          <w:tcPr>
            <w:tcW w:w="845" w:type="pct"/>
            <w:tcBorders>
              <w:top w:val="single" w:sz="4" w:space="0" w:color="auto"/>
              <w:left w:val="nil"/>
              <w:bottom w:val="nil"/>
              <w:right w:val="nil"/>
            </w:tcBorders>
          </w:tcPr>
          <w:p w14:paraId="03966800" w14:textId="041D0237" w:rsidR="00470460" w:rsidRPr="005B0B0C" w:rsidRDefault="004632D5" w:rsidP="004632D5">
            <w:pPr>
              <w:jc w:val="both"/>
              <w:rPr>
                <w:sz w:val="18"/>
                <w:szCs w:val="18"/>
              </w:rPr>
            </w:pPr>
            <w:r w:rsidRPr="005B0B0C">
              <w:rPr>
                <w:sz w:val="18"/>
                <w:szCs w:val="18"/>
              </w:rPr>
              <w:t>Mengetahui telemedisin diperbolehkan tetapi belum detail implementasinya</w:t>
            </w:r>
          </w:p>
        </w:tc>
        <w:tc>
          <w:tcPr>
            <w:tcW w:w="845" w:type="pct"/>
            <w:tcBorders>
              <w:top w:val="single" w:sz="4" w:space="0" w:color="auto"/>
              <w:left w:val="nil"/>
              <w:bottom w:val="nil"/>
              <w:right w:val="nil"/>
            </w:tcBorders>
          </w:tcPr>
          <w:p w14:paraId="323972E2" w14:textId="55FA73CD" w:rsidR="00470460" w:rsidRPr="005B0B0C" w:rsidRDefault="004632D5" w:rsidP="004632D5">
            <w:pPr>
              <w:jc w:val="both"/>
              <w:rPr>
                <w:sz w:val="18"/>
                <w:szCs w:val="18"/>
              </w:rPr>
            </w:pPr>
            <w:r w:rsidRPr="005B0B0C">
              <w:rPr>
                <w:sz w:val="18"/>
                <w:szCs w:val="18"/>
              </w:rPr>
              <w:t>Mengetahui secara umum bahwa telemedisin didukung regulasi</w:t>
            </w:r>
          </w:p>
        </w:tc>
        <w:tc>
          <w:tcPr>
            <w:tcW w:w="1262" w:type="pct"/>
            <w:tcBorders>
              <w:top w:val="single" w:sz="4" w:space="0" w:color="auto"/>
              <w:left w:val="nil"/>
              <w:bottom w:val="nil"/>
              <w:right w:val="nil"/>
            </w:tcBorders>
          </w:tcPr>
          <w:p w14:paraId="32710F9F" w14:textId="74E55AEB" w:rsidR="00470460" w:rsidRPr="005B0B0C" w:rsidRDefault="004632D5" w:rsidP="004632D5">
            <w:pPr>
              <w:jc w:val="both"/>
              <w:rPr>
                <w:sz w:val="18"/>
                <w:szCs w:val="18"/>
              </w:rPr>
            </w:pPr>
            <w:r w:rsidRPr="005B0B0C">
              <w:rPr>
                <w:sz w:val="18"/>
                <w:szCs w:val="18"/>
              </w:rPr>
              <w:t>Seluruh informan memahami bahwa regulasi nasional membuka peluang telemedisin namun belum disertai petunjuk teknis operasional yang rinci</w:t>
            </w:r>
          </w:p>
        </w:tc>
      </w:tr>
      <w:tr w:rsidR="00470460" w:rsidRPr="00320594" w14:paraId="0B7D7903" w14:textId="36711FED" w:rsidTr="005B0B0C">
        <w:tc>
          <w:tcPr>
            <w:tcW w:w="606" w:type="pct"/>
            <w:tcBorders>
              <w:top w:val="nil"/>
              <w:left w:val="nil"/>
              <w:bottom w:val="nil"/>
              <w:right w:val="nil"/>
            </w:tcBorders>
          </w:tcPr>
          <w:p w14:paraId="3A4EFC5D" w14:textId="0444B699" w:rsidR="00470460" w:rsidRPr="005B0B0C" w:rsidRDefault="00470460" w:rsidP="00470460">
            <w:pPr>
              <w:jc w:val="center"/>
              <w:rPr>
                <w:b/>
                <w:bCs/>
                <w:i/>
                <w:iCs/>
                <w:sz w:val="18"/>
                <w:szCs w:val="18"/>
              </w:rPr>
            </w:pPr>
            <w:r w:rsidRPr="005B0B0C">
              <w:rPr>
                <w:b/>
                <w:bCs/>
                <w:i/>
                <w:iCs/>
                <w:sz w:val="18"/>
                <w:szCs w:val="18"/>
              </w:rPr>
              <w:t>Opportunity</w:t>
            </w:r>
          </w:p>
        </w:tc>
        <w:tc>
          <w:tcPr>
            <w:tcW w:w="599" w:type="pct"/>
            <w:tcBorders>
              <w:top w:val="nil"/>
              <w:left w:val="nil"/>
              <w:bottom w:val="nil"/>
              <w:right w:val="nil"/>
            </w:tcBorders>
          </w:tcPr>
          <w:p w14:paraId="03346118" w14:textId="0C81AAD3" w:rsidR="00470460" w:rsidRPr="005B0B0C" w:rsidRDefault="004632D5" w:rsidP="004632D5">
            <w:pPr>
              <w:jc w:val="both"/>
              <w:rPr>
                <w:sz w:val="18"/>
                <w:szCs w:val="18"/>
              </w:rPr>
            </w:pPr>
            <w:r w:rsidRPr="005B0B0C">
              <w:rPr>
                <w:sz w:val="18"/>
                <w:szCs w:val="18"/>
              </w:rPr>
              <w:t>Ketentuan penerapan telefarmasi dari pemerintah</w:t>
            </w:r>
          </w:p>
        </w:tc>
        <w:tc>
          <w:tcPr>
            <w:tcW w:w="845" w:type="pct"/>
            <w:tcBorders>
              <w:top w:val="nil"/>
              <w:left w:val="nil"/>
              <w:bottom w:val="nil"/>
              <w:right w:val="nil"/>
            </w:tcBorders>
          </w:tcPr>
          <w:p w14:paraId="3C841608" w14:textId="6D2F2B29" w:rsidR="00470460" w:rsidRPr="005B0B0C" w:rsidRDefault="0071239F" w:rsidP="004632D5">
            <w:pPr>
              <w:jc w:val="both"/>
              <w:rPr>
                <w:sz w:val="18"/>
                <w:szCs w:val="18"/>
              </w:rPr>
            </w:pPr>
            <w:r w:rsidRPr="005B0B0C">
              <w:rPr>
                <w:sz w:val="18"/>
                <w:szCs w:val="18"/>
              </w:rPr>
              <w:t>Belum ada pedoman teknis khusus di tingkat daerah</w:t>
            </w:r>
          </w:p>
        </w:tc>
        <w:tc>
          <w:tcPr>
            <w:tcW w:w="845" w:type="pct"/>
            <w:tcBorders>
              <w:top w:val="nil"/>
              <w:left w:val="nil"/>
              <w:bottom w:val="nil"/>
              <w:right w:val="nil"/>
            </w:tcBorders>
          </w:tcPr>
          <w:p w14:paraId="461C5E42" w14:textId="7C810EE9" w:rsidR="00470460" w:rsidRPr="005B0B0C" w:rsidRDefault="0071239F" w:rsidP="004632D5">
            <w:pPr>
              <w:jc w:val="both"/>
              <w:rPr>
                <w:sz w:val="18"/>
                <w:szCs w:val="18"/>
              </w:rPr>
            </w:pPr>
            <w:r w:rsidRPr="005B0B0C">
              <w:rPr>
                <w:sz w:val="18"/>
                <w:szCs w:val="18"/>
              </w:rPr>
              <w:t>Tidak ada SOP atau kebijakan tertulis khusus telefarmasi</w:t>
            </w:r>
          </w:p>
        </w:tc>
        <w:tc>
          <w:tcPr>
            <w:tcW w:w="845" w:type="pct"/>
            <w:tcBorders>
              <w:top w:val="nil"/>
              <w:left w:val="nil"/>
              <w:bottom w:val="nil"/>
              <w:right w:val="nil"/>
            </w:tcBorders>
          </w:tcPr>
          <w:p w14:paraId="500DF26E" w14:textId="1258793A" w:rsidR="00470460" w:rsidRPr="005B0B0C" w:rsidRDefault="0071239F" w:rsidP="004632D5">
            <w:pPr>
              <w:jc w:val="both"/>
              <w:rPr>
                <w:sz w:val="18"/>
                <w:szCs w:val="18"/>
              </w:rPr>
            </w:pPr>
            <w:r w:rsidRPr="005B0B0C">
              <w:rPr>
                <w:sz w:val="18"/>
                <w:szCs w:val="18"/>
              </w:rPr>
              <w:t>Mengacu pada kebijakan internal puskesmas</w:t>
            </w:r>
          </w:p>
        </w:tc>
        <w:tc>
          <w:tcPr>
            <w:tcW w:w="1262" w:type="pct"/>
            <w:tcBorders>
              <w:top w:val="nil"/>
              <w:left w:val="nil"/>
              <w:bottom w:val="nil"/>
              <w:right w:val="nil"/>
            </w:tcBorders>
          </w:tcPr>
          <w:p w14:paraId="2CE2A6C8" w14:textId="508CB3B2" w:rsidR="00470460" w:rsidRPr="005B0B0C" w:rsidRDefault="0071239F" w:rsidP="004632D5">
            <w:pPr>
              <w:jc w:val="both"/>
              <w:rPr>
                <w:sz w:val="18"/>
                <w:szCs w:val="18"/>
              </w:rPr>
            </w:pPr>
            <w:r w:rsidRPr="005B0B0C">
              <w:rPr>
                <w:sz w:val="18"/>
                <w:szCs w:val="18"/>
              </w:rPr>
              <w:t>Belum terdapat regulasi teknis khusus telefarmasi dari pemerintah daerah maupun nasional, implementasi masih berbasis inisiatif lokal</w:t>
            </w:r>
          </w:p>
        </w:tc>
      </w:tr>
      <w:tr w:rsidR="00470460" w:rsidRPr="00320594" w14:paraId="4A146A10" w14:textId="0E251EC6" w:rsidTr="005B0B0C">
        <w:tc>
          <w:tcPr>
            <w:tcW w:w="606" w:type="pct"/>
            <w:tcBorders>
              <w:top w:val="nil"/>
              <w:left w:val="nil"/>
              <w:bottom w:val="nil"/>
              <w:right w:val="nil"/>
            </w:tcBorders>
          </w:tcPr>
          <w:p w14:paraId="679830C5" w14:textId="16920537" w:rsidR="00470460" w:rsidRPr="005B0B0C" w:rsidRDefault="00470460" w:rsidP="00470460">
            <w:pPr>
              <w:jc w:val="center"/>
              <w:rPr>
                <w:b/>
                <w:bCs/>
                <w:i/>
                <w:iCs/>
                <w:sz w:val="18"/>
                <w:szCs w:val="18"/>
              </w:rPr>
            </w:pPr>
            <w:r w:rsidRPr="005B0B0C">
              <w:rPr>
                <w:b/>
                <w:bCs/>
                <w:i/>
                <w:iCs/>
                <w:sz w:val="18"/>
                <w:szCs w:val="18"/>
              </w:rPr>
              <w:t>Capability</w:t>
            </w:r>
          </w:p>
        </w:tc>
        <w:tc>
          <w:tcPr>
            <w:tcW w:w="599" w:type="pct"/>
            <w:tcBorders>
              <w:top w:val="nil"/>
              <w:left w:val="nil"/>
              <w:bottom w:val="nil"/>
              <w:right w:val="nil"/>
            </w:tcBorders>
          </w:tcPr>
          <w:p w14:paraId="5493EDBE" w14:textId="60BA334C" w:rsidR="00470460" w:rsidRPr="005B0B0C" w:rsidRDefault="004632D5" w:rsidP="004632D5">
            <w:pPr>
              <w:jc w:val="both"/>
              <w:rPr>
                <w:sz w:val="18"/>
                <w:szCs w:val="18"/>
              </w:rPr>
            </w:pPr>
            <w:r w:rsidRPr="005B0B0C">
              <w:rPr>
                <w:sz w:val="18"/>
                <w:szCs w:val="18"/>
              </w:rPr>
              <w:t>Kapabilitas tenaga farmasi</w:t>
            </w:r>
          </w:p>
        </w:tc>
        <w:tc>
          <w:tcPr>
            <w:tcW w:w="845" w:type="pct"/>
            <w:tcBorders>
              <w:top w:val="nil"/>
              <w:left w:val="nil"/>
              <w:bottom w:val="nil"/>
              <w:right w:val="nil"/>
            </w:tcBorders>
          </w:tcPr>
          <w:p w14:paraId="74391300" w14:textId="22946244" w:rsidR="00470460" w:rsidRPr="005B0B0C" w:rsidRDefault="0071239F" w:rsidP="004632D5">
            <w:pPr>
              <w:jc w:val="both"/>
              <w:rPr>
                <w:sz w:val="18"/>
                <w:szCs w:val="18"/>
              </w:rPr>
            </w:pPr>
            <w:r w:rsidRPr="005B0B0C">
              <w:rPr>
                <w:sz w:val="18"/>
                <w:szCs w:val="18"/>
              </w:rPr>
              <w:t>Mampu menggunakan media digital (Whatsapp, Flyer digital)</w:t>
            </w:r>
          </w:p>
        </w:tc>
        <w:tc>
          <w:tcPr>
            <w:tcW w:w="845" w:type="pct"/>
            <w:tcBorders>
              <w:top w:val="nil"/>
              <w:left w:val="nil"/>
              <w:bottom w:val="nil"/>
              <w:right w:val="nil"/>
            </w:tcBorders>
          </w:tcPr>
          <w:p w14:paraId="7292F5CF" w14:textId="2579CCAF" w:rsidR="00470460" w:rsidRPr="005B0B0C" w:rsidRDefault="0071239F" w:rsidP="004632D5">
            <w:pPr>
              <w:jc w:val="both"/>
              <w:rPr>
                <w:sz w:val="18"/>
                <w:szCs w:val="18"/>
              </w:rPr>
            </w:pPr>
            <w:r w:rsidRPr="005B0B0C">
              <w:rPr>
                <w:sz w:val="18"/>
                <w:szCs w:val="18"/>
              </w:rPr>
              <w:t>Memiliki kemampuan konseling dan komunikasi jarak jauh</w:t>
            </w:r>
          </w:p>
        </w:tc>
        <w:tc>
          <w:tcPr>
            <w:tcW w:w="845" w:type="pct"/>
            <w:tcBorders>
              <w:top w:val="nil"/>
              <w:left w:val="nil"/>
              <w:bottom w:val="nil"/>
              <w:right w:val="nil"/>
            </w:tcBorders>
          </w:tcPr>
          <w:p w14:paraId="04E32394" w14:textId="4DE23AA5" w:rsidR="00470460" w:rsidRPr="005B0B0C" w:rsidRDefault="0071239F" w:rsidP="004632D5">
            <w:pPr>
              <w:jc w:val="both"/>
              <w:rPr>
                <w:sz w:val="18"/>
                <w:szCs w:val="18"/>
              </w:rPr>
            </w:pPr>
            <w:r w:rsidRPr="005B0B0C">
              <w:rPr>
                <w:sz w:val="18"/>
                <w:szCs w:val="18"/>
              </w:rPr>
              <w:t>Mampu melakukan edukasi dan follow up pasien secara daring</w:t>
            </w:r>
          </w:p>
        </w:tc>
        <w:tc>
          <w:tcPr>
            <w:tcW w:w="1262" w:type="pct"/>
            <w:tcBorders>
              <w:top w:val="nil"/>
              <w:left w:val="nil"/>
              <w:bottom w:val="nil"/>
              <w:right w:val="nil"/>
            </w:tcBorders>
          </w:tcPr>
          <w:p w14:paraId="411A5CC9" w14:textId="3692F357" w:rsidR="00470460" w:rsidRPr="005B0B0C" w:rsidRDefault="0071239F" w:rsidP="004632D5">
            <w:pPr>
              <w:jc w:val="both"/>
              <w:rPr>
                <w:sz w:val="18"/>
                <w:szCs w:val="18"/>
              </w:rPr>
            </w:pPr>
            <w:r w:rsidRPr="005B0B0C">
              <w:rPr>
                <w:sz w:val="18"/>
                <w:szCs w:val="18"/>
              </w:rPr>
              <w:t>Tenaga kefarmasian memiliki kapabilitas teknis dan profesionalitas yang memadai untuk inovasi telefarmasi sederhana</w:t>
            </w:r>
          </w:p>
        </w:tc>
      </w:tr>
      <w:tr w:rsidR="00470460" w:rsidRPr="00320594" w14:paraId="30D77A0D" w14:textId="2B66501B" w:rsidTr="005B0B0C">
        <w:tc>
          <w:tcPr>
            <w:tcW w:w="606" w:type="pct"/>
            <w:tcBorders>
              <w:top w:val="nil"/>
              <w:left w:val="nil"/>
              <w:bottom w:val="nil"/>
              <w:right w:val="nil"/>
            </w:tcBorders>
          </w:tcPr>
          <w:p w14:paraId="0C35D210" w14:textId="54878EE6" w:rsidR="00470460" w:rsidRPr="005B0B0C" w:rsidRDefault="004632D5" w:rsidP="00470460">
            <w:pPr>
              <w:jc w:val="center"/>
              <w:rPr>
                <w:b/>
                <w:bCs/>
                <w:i/>
                <w:iCs/>
                <w:sz w:val="18"/>
                <w:szCs w:val="18"/>
              </w:rPr>
            </w:pPr>
            <w:r w:rsidRPr="005B0B0C">
              <w:rPr>
                <w:b/>
                <w:bCs/>
                <w:i/>
                <w:iCs/>
                <w:sz w:val="18"/>
                <w:szCs w:val="18"/>
              </w:rPr>
              <w:t>Motivation</w:t>
            </w:r>
          </w:p>
        </w:tc>
        <w:tc>
          <w:tcPr>
            <w:tcW w:w="599" w:type="pct"/>
            <w:tcBorders>
              <w:top w:val="nil"/>
              <w:left w:val="nil"/>
              <w:bottom w:val="nil"/>
              <w:right w:val="nil"/>
            </w:tcBorders>
          </w:tcPr>
          <w:p w14:paraId="07C87905" w14:textId="3190852F" w:rsidR="00470460" w:rsidRPr="005B0B0C" w:rsidRDefault="004632D5" w:rsidP="004632D5">
            <w:pPr>
              <w:jc w:val="both"/>
              <w:rPr>
                <w:sz w:val="18"/>
                <w:szCs w:val="18"/>
              </w:rPr>
            </w:pPr>
            <w:r w:rsidRPr="005B0B0C">
              <w:rPr>
                <w:sz w:val="18"/>
                <w:szCs w:val="18"/>
              </w:rPr>
              <w:t>Motivasi menerapkan telefarmasi</w:t>
            </w:r>
          </w:p>
        </w:tc>
        <w:tc>
          <w:tcPr>
            <w:tcW w:w="845" w:type="pct"/>
            <w:tcBorders>
              <w:top w:val="nil"/>
              <w:left w:val="nil"/>
              <w:bottom w:val="nil"/>
              <w:right w:val="nil"/>
            </w:tcBorders>
          </w:tcPr>
          <w:p w14:paraId="6AE44765" w14:textId="66B236B4" w:rsidR="00470460" w:rsidRPr="005B0B0C" w:rsidRDefault="0071239F" w:rsidP="004632D5">
            <w:pPr>
              <w:jc w:val="both"/>
              <w:rPr>
                <w:sz w:val="18"/>
                <w:szCs w:val="18"/>
              </w:rPr>
            </w:pPr>
            <w:r w:rsidRPr="005B0B0C">
              <w:rPr>
                <w:sz w:val="18"/>
                <w:szCs w:val="18"/>
              </w:rPr>
              <w:t>Ingin meningkatkan kepatuhan dan keselamatan pasien</w:t>
            </w:r>
          </w:p>
        </w:tc>
        <w:tc>
          <w:tcPr>
            <w:tcW w:w="845" w:type="pct"/>
            <w:tcBorders>
              <w:top w:val="nil"/>
              <w:left w:val="nil"/>
              <w:bottom w:val="nil"/>
              <w:right w:val="nil"/>
            </w:tcBorders>
          </w:tcPr>
          <w:p w14:paraId="422F8E56" w14:textId="54DD1B5A" w:rsidR="00470460" w:rsidRPr="005B0B0C" w:rsidRDefault="0071239F" w:rsidP="004632D5">
            <w:pPr>
              <w:jc w:val="both"/>
              <w:rPr>
                <w:sz w:val="18"/>
                <w:szCs w:val="18"/>
              </w:rPr>
            </w:pPr>
            <w:r w:rsidRPr="005B0B0C">
              <w:rPr>
                <w:sz w:val="18"/>
                <w:szCs w:val="18"/>
              </w:rPr>
              <w:t>Sebagai bentuk tanggung jawab profesi</w:t>
            </w:r>
          </w:p>
        </w:tc>
        <w:tc>
          <w:tcPr>
            <w:tcW w:w="845" w:type="pct"/>
            <w:tcBorders>
              <w:top w:val="nil"/>
              <w:left w:val="nil"/>
              <w:bottom w:val="nil"/>
              <w:right w:val="nil"/>
            </w:tcBorders>
          </w:tcPr>
          <w:p w14:paraId="488ED19C" w14:textId="3C201E61" w:rsidR="00470460" w:rsidRPr="005B0B0C" w:rsidRDefault="0071239F" w:rsidP="004632D5">
            <w:pPr>
              <w:jc w:val="both"/>
              <w:rPr>
                <w:sz w:val="18"/>
                <w:szCs w:val="18"/>
              </w:rPr>
            </w:pPr>
            <w:r w:rsidRPr="005B0B0C">
              <w:rPr>
                <w:sz w:val="18"/>
                <w:szCs w:val="18"/>
              </w:rPr>
              <w:t>Ingin memperluan jangkauan layanan farmasi</w:t>
            </w:r>
          </w:p>
        </w:tc>
        <w:tc>
          <w:tcPr>
            <w:tcW w:w="1262" w:type="pct"/>
            <w:tcBorders>
              <w:top w:val="nil"/>
              <w:left w:val="nil"/>
              <w:bottom w:val="nil"/>
              <w:right w:val="nil"/>
            </w:tcBorders>
          </w:tcPr>
          <w:p w14:paraId="0F1BE16C" w14:textId="11CBE15F" w:rsidR="00470460" w:rsidRPr="005B0B0C" w:rsidRDefault="0071239F" w:rsidP="004632D5">
            <w:pPr>
              <w:jc w:val="both"/>
              <w:rPr>
                <w:sz w:val="18"/>
                <w:szCs w:val="18"/>
              </w:rPr>
            </w:pPr>
            <w:r w:rsidRPr="005B0B0C">
              <w:rPr>
                <w:sz w:val="18"/>
                <w:szCs w:val="18"/>
              </w:rPr>
              <w:t>Motivasi intrinsik tinggi untuk menjalankan telefarmsi sebagai bagian dari pelayanan profesional apoteker</w:t>
            </w:r>
          </w:p>
        </w:tc>
      </w:tr>
      <w:tr w:rsidR="00470460" w:rsidRPr="00320594" w14:paraId="1B541D20" w14:textId="3BA395E5" w:rsidTr="005B0B0C">
        <w:tc>
          <w:tcPr>
            <w:tcW w:w="606" w:type="pct"/>
            <w:tcBorders>
              <w:top w:val="nil"/>
              <w:left w:val="nil"/>
              <w:bottom w:val="single" w:sz="4" w:space="0" w:color="auto"/>
              <w:right w:val="nil"/>
            </w:tcBorders>
          </w:tcPr>
          <w:p w14:paraId="55721844" w14:textId="1CB15665" w:rsidR="00470460" w:rsidRPr="005B0B0C" w:rsidRDefault="004632D5" w:rsidP="00470460">
            <w:pPr>
              <w:jc w:val="center"/>
              <w:rPr>
                <w:b/>
                <w:bCs/>
                <w:i/>
                <w:iCs/>
                <w:sz w:val="18"/>
                <w:szCs w:val="18"/>
              </w:rPr>
            </w:pPr>
            <w:r w:rsidRPr="005B0B0C">
              <w:rPr>
                <w:b/>
                <w:bCs/>
                <w:i/>
                <w:iCs/>
                <w:sz w:val="18"/>
                <w:szCs w:val="18"/>
              </w:rPr>
              <w:t>Behaviour</w:t>
            </w:r>
          </w:p>
        </w:tc>
        <w:tc>
          <w:tcPr>
            <w:tcW w:w="599" w:type="pct"/>
            <w:tcBorders>
              <w:top w:val="nil"/>
              <w:left w:val="nil"/>
              <w:bottom w:val="single" w:sz="4" w:space="0" w:color="auto"/>
              <w:right w:val="nil"/>
            </w:tcBorders>
          </w:tcPr>
          <w:p w14:paraId="1519D6DA" w14:textId="46C22471" w:rsidR="00470460" w:rsidRPr="005B0B0C" w:rsidRDefault="004632D5" w:rsidP="004632D5">
            <w:pPr>
              <w:jc w:val="both"/>
              <w:rPr>
                <w:sz w:val="18"/>
                <w:szCs w:val="18"/>
              </w:rPr>
            </w:pPr>
            <w:r w:rsidRPr="005B0B0C">
              <w:rPr>
                <w:sz w:val="18"/>
                <w:szCs w:val="18"/>
              </w:rPr>
              <w:t>Faktor penggerak pelaksanaan program</w:t>
            </w:r>
          </w:p>
        </w:tc>
        <w:tc>
          <w:tcPr>
            <w:tcW w:w="845" w:type="pct"/>
            <w:tcBorders>
              <w:top w:val="nil"/>
              <w:left w:val="nil"/>
              <w:bottom w:val="single" w:sz="4" w:space="0" w:color="auto"/>
              <w:right w:val="nil"/>
            </w:tcBorders>
          </w:tcPr>
          <w:p w14:paraId="0E3471DF" w14:textId="1CB4F3D5" w:rsidR="00470460" w:rsidRPr="005B0B0C" w:rsidRDefault="0071239F" w:rsidP="004632D5">
            <w:pPr>
              <w:jc w:val="both"/>
              <w:rPr>
                <w:sz w:val="18"/>
                <w:szCs w:val="18"/>
              </w:rPr>
            </w:pPr>
            <w:r w:rsidRPr="005B0B0C">
              <w:rPr>
                <w:sz w:val="18"/>
                <w:szCs w:val="18"/>
              </w:rPr>
              <w:t>Dukungan pimpinan puskesmas</w:t>
            </w:r>
          </w:p>
        </w:tc>
        <w:tc>
          <w:tcPr>
            <w:tcW w:w="845" w:type="pct"/>
            <w:tcBorders>
              <w:top w:val="nil"/>
              <w:left w:val="nil"/>
              <w:bottom w:val="single" w:sz="4" w:space="0" w:color="auto"/>
              <w:right w:val="nil"/>
            </w:tcBorders>
          </w:tcPr>
          <w:p w14:paraId="4856D8D0" w14:textId="4606C23E" w:rsidR="00470460" w:rsidRPr="005B0B0C" w:rsidRDefault="0071239F" w:rsidP="004632D5">
            <w:pPr>
              <w:jc w:val="both"/>
              <w:rPr>
                <w:sz w:val="18"/>
                <w:szCs w:val="18"/>
              </w:rPr>
            </w:pPr>
            <w:r w:rsidRPr="005B0B0C">
              <w:rPr>
                <w:sz w:val="18"/>
                <w:szCs w:val="18"/>
              </w:rPr>
              <w:t>Kebutuhan pelayanan wilayah luas</w:t>
            </w:r>
          </w:p>
        </w:tc>
        <w:tc>
          <w:tcPr>
            <w:tcW w:w="845" w:type="pct"/>
            <w:tcBorders>
              <w:top w:val="nil"/>
              <w:left w:val="nil"/>
              <w:bottom w:val="single" w:sz="4" w:space="0" w:color="auto"/>
              <w:right w:val="nil"/>
            </w:tcBorders>
          </w:tcPr>
          <w:p w14:paraId="2E68E8DE" w14:textId="1D9E3FEA" w:rsidR="00470460" w:rsidRPr="005B0B0C" w:rsidRDefault="0071239F" w:rsidP="004632D5">
            <w:pPr>
              <w:jc w:val="both"/>
              <w:rPr>
                <w:sz w:val="18"/>
                <w:szCs w:val="18"/>
              </w:rPr>
            </w:pPr>
            <w:r w:rsidRPr="005B0B0C">
              <w:rPr>
                <w:sz w:val="18"/>
                <w:szCs w:val="18"/>
              </w:rPr>
              <w:t>Tingginya kebutuhan pasien akan konseling</w:t>
            </w:r>
          </w:p>
        </w:tc>
        <w:tc>
          <w:tcPr>
            <w:tcW w:w="1262" w:type="pct"/>
            <w:tcBorders>
              <w:top w:val="nil"/>
              <w:left w:val="nil"/>
              <w:bottom w:val="single" w:sz="4" w:space="0" w:color="auto"/>
              <w:right w:val="nil"/>
            </w:tcBorders>
          </w:tcPr>
          <w:p w14:paraId="0DBA4BBC" w14:textId="53CE2A82" w:rsidR="00470460" w:rsidRPr="005B0B0C" w:rsidRDefault="005B0B0C" w:rsidP="004632D5">
            <w:pPr>
              <w:jc w:val="both"/>
              <w:rPr>
                <w:sz w:val="18"/>
                <w:szCs w:val="18"/>
              </w:rPr>
            </w:pPr>
            <w:r w:rsidRPr="005B0B0C">
              <w:rPr>
                <w:sz w:val="18"/>
                <w:szCs w:val="18"/>
              </w:rPr>
              <w:t>Dukungan pimpinan dan kebutuhan layanan menjadi faktor kunci yang menggerakkan implementasi program telefarmasi</w:t>
            </w:r>
          </w:p>
        </w:tc>
      </w:tr>
    </w:tbl>
    <w:tbl>
      <w:tblPr>
        <w:tblStyle w:val="TableGrid"/>
        <w:tblW w:w="5000" w:type="pct"/>
        <w:tblLook w:val="04A0" w:firstRow="1" w:lastRow="0" w:firstColumn="1" w:lastColumn="0" w:noHBand="0" w:noVBand="1"/>
      </w:tblPr>
      <w:tblGrid>
        <w:gridCol w:w="2437"/>
        <w:gridCol w:w="2439"/>
      </w:tblGrid>
      <w:tr w:rsidR="0094389E" w:rsidRPr="00320594" w14:paraId="53B15134" w14:textId="77777777" w:rsidTr="00325018">
        <w:tc>
          <w:tcPr>
            <w:tcW w:w="5000" w:type="pct"/>
            <w:gridSpan w:val="2"/>
            <w:tcBorders>
              <w:top w:val="nil"/>
              <w:left w:val="nil"/>
              <w:bottom w:val="single" w:sz="4" w:space="0" w:color="auto"/>
              <w:right w:val="nil"/>
            </w:tcBorders>
          </w:tcPr>
          <w:p w14:paraId="46C6CCF3" w14:textId="3512BFE8" w:rsidR="0094389E" w:rsidRPr="004F409E" w:rsidRDefault="0094389E" w:rsidP="0094389E">
            <w:pPr>
              <w:pStyle w:val="JFSIJudulTabel"/>
              <w:ind w:left="748" w:hanging="782"/>
            </w:pPr>
            <w:r>
              <w:t>Pasien yang memanfaatkan Program Telemedisin</w:t>
            </w:r>
          </w:p>
        </w:tc>
      </w:tr>
      <w:tr w:rsidR="0094389E" w:rsidRPr="00320594" w14:paraId="1C2333D7" w14:textId="77777777" w:rsidTr="00325018">
        <w:tc>
          <w:tcPr>
            <w:tcW w:w="2499" w:type="pct"/>
            <w:tcBorders>
              <w:top w:val="single" w:sz="4" w:space="0" w:color="auto"/>
              <w:left w:val="nil"/>
              <w:bottom w:val="single" w:sz="4" w:space="0" w:color="auto"/>
              <w:right w:val="nil"/>
            </w:tcBorders>
          </w:tcPr>
          <w:p w14:paraId="54852A4E" w14:textId="59DA0F52" w:rsidR="0094389E" w:rsidRPr="00320594" w:rsidRDefault="0094389E" w:rsidP="00325018">
            <w:pPr>
              <w:jc w:val="center"/>
              <w:rPr>
                <w:b/>
                <w:bCs/>
                <w:sz w:val="20"/>
                <w:szCs w:val="20"/>
              </w:rPr>
            </w:pPr>
            <w:r>
              <w:rPr>
                <w:b/>
                <w:bCs/>
                <w:sz w:val="20"/>
                <w:szCs w:val="20"/>
              </w:rPr>
              <w:t>Waktu</w:t>
            </w:r>
          </w:p>
        </w:tc>
        <w:tc>
          <w:tcPr>
            <w:tcW w:w="2501" w:type="pct"/>
            <w:tcBorders>
              <w:top w:val="single" w:sz="4" w:space="0" w:color="auto"/>
              <w:left w:val="nil"/>
              <w:bottom w:val="single" w:sz="4" w:space="0" w:color="auto"/>
              <w:right w:val="nil"/>
            </w:tcBorders>
          </w:tcPr>
          <w:p w14:paraId="13B4DA31" w14:textId="5675C1A7" w:rsidR="0094389E" w:rsidRPr="00320594" w:rsidRDefault="0094389E" w:rsidP="00325018">
            <w:pPr>
              <w:jc w:val="center"/>
              <w:rPr>
                <w:b/>
                <w:bCs/>
                <w:sz w:val="20"/>
                <w:szCs w:val="20"/>
              </w:rPr>
            </w:pPr>
            <w:r>
              <w:rPr>
                <w:b/>
                <w:bCs/>
                <w:sz w:val="20"/>
                <w:szCs w:val="20"/>
              </w:rPr>
              <w:t>Jumlah Pasien</w:t>
            </w:r>
          </w:p>
        </w:tc>
      </w:tr>
      <w:tr w:rsidR="0094389E" w:rsidRPr="00320594" w14:paraId="20B26C71" w14:textId="77777777" w:rsidTr="00325018">
        <w:tc>
          <w:tcPr>
            <w:tcW w:w="2499" w:type="pct"/>
            <w:tcBorders>
              <w:top w:val="single" w:sz="4" w:space="0" w:color="auto"/>
              <w:left w:val="nil"/>
              <w:bottom w:val="nil"/>
              <w:right w:val="nil"/>
            </w:tcBorders>
          </w:tcPr>
          <w:p w14:paraId="0D886EC3" w14:textId="0C4D19EC" w:rsidR="0094389E" w:rsidRPr="00320594" w:rsidRDefault="0094389E" w:rsidP="00325018">
            <w:pPr>
              <w:jc w:val="center"/>
              <w:rPr>
                <w:sz w:val="20"/>
                <w:szCs w:val="20"/>
              </w:rPr>
            </w:pPr>
            <w:r>
              <w:rPr>
                <w:sz w:val="20"/>
                <w:szCs w:val="20"/>
              </w:rPr>
              <w:t xml:space="preserve">September </w:t>
            </w:r>
          </w:p>
        </w:tc>
        <w:tc>
          <w:tcPr>
            <w:tcW w:w="2501" w:type="pct"/>
            <w:tcBorders>
              <w:top w:val="single" w:sz="4" w:space="0" w:color="auto"/>
              <w:left w:val="nil"/>
              <w:bottom w:val="nil"/>
              <w:right w:val="nil"/>
            </w:tcBorders>
          </w:tcPr>
          <w:p w14:paraId="460DF665" w14:textId="5B19DFC0" w:rsidR="0094389E" w:rsidRPr="00320594" w:rsidRDefault="0094389E" w:rsidP="00325018">
            <w:pPr>
              <w:jc w:val="center"/>
              <w:rPr>
                <w:sz w:val="20"/>
                <w:szCs w:val="20"/>
              </w:rPr>
            </w:pPr>
            <w:r>
              <w:rPr>
                <w:sz w:val="20"/>
                <w:szCs w:val="20"/>
              </w:rPr>
              <w:t>10</w:t>
            </w:r>
          </w:p>
        </w:tc>
      </w:tr>
      <w:tr w:rsidR="0094389E" w:rsidRPr="00320594" w14:paraId="62BA20B7" w14:textId="77777777" w:rsidTr="00325018">
        <w:tc>
          <w:tcPr>
            <w:tcW w:w="2499" w:type="pct"/>
            <w:tcBorders>
              <w:top w:val="nil"/>
              <w:left w:val="nil"/>
              <w:bottom w:val="nil"/>
              <w:right w:val="nil"/>
            </w:tcBorders>
          </w:tcPr>
          <w:p w14:paraId="77F6E62B" w14:textId="7A847BC1" w:rsidR="0094389E" w:rsidRPr="00320594" w:rsidRDefault="0094389E" w:rsidP="00325018">
            <w:pPr>
              <w:jc w:val="center"/>
              <w:rPr>
                <w:sz w:val="20"/>
                <w:szCs w:val="20"/>
              </w:rPr>
            </w:pPr>
            <w:r>
              <w:rPr>
                <w:sz w:val="20"/>
                <w:szCs w:val="20"/>
              </w:rPr>
              <w:t xml:space="preserve">Oktober </w:t>
            </w:r>
          </w:p>
        </w:tc>
        <w:tc>
          <w:tcPr>
            <w:tcW w:w="2501" w:type="pct"/>
            <w:tcBorders>
              <w:top w:val="nil"/>
              <w:left w:val="nil"/>
              <w:bottom w:val="nil"/>
              <w:right w:val="nil"/>
            </w:tcBorders>
          </w:tcPr>
          <w:p w14:paraId="55E8E586" w14:textId="2B532F8F" w:rsidR="0094389E" w:rsidRPr="00320594" w:rsidRDefault="0094389E" w:rsidP="00325018">
            <w:pPr>
              <w:jc w:val="center"/>
              <w:rPr>
                <w:sz w:val="20"/>
                <w:szCs w:val="20"/>
              </w:rPr>
            </w:pPr>
            <w:r>
              <w:rPr>
                <w:sz w:val="20"/>
                <w:szCs w:val="20"/>
              </w:rPr>
              <w:t>22</w:t>
            </w:r>
          </w:p>
        </w:tc>
      </w:tr>
      <w:tr w:rsidR="0094389E" w:rsidRPr="00320594" w14:paraId="17D3C472" w14:textId="77777777" w:rsidTr="00325018">
        <w:tc>
          <w:tcPr>
            <w:tcW w:w="2499" w:type="pct"/>
            <w:tcBorders>
              <w:top w:val="nil"/>
              <w:left w:val="nil"/>
              <w:bottom w:val="single" w:sz="4" w:space="0" w:color="auto"/>
              <w:right w:val="nil"/>
            </w:tcBorders>
          </w:tcPr>
          <w:p w14:paraId="198600EC" w14:textId="0631B6FA" w:rsidR="0094389E" w:rsidRPr="00320594" w:rsidRDefault="0094389E" w:rsidP="00325018">
            <w:pPr>
              <w:jc w:val="center"/>
              <w:rPr>
                <w:sz w:val="20"/>
                <w:szCs w:val="20"/>
              </w:rPr>
            </w:pPr>
            <w:r>
              <w:rPr>
                <w:sz w:val="20"/>
                <w:szCs w:val="20"/>
              </w:rPr>
              <w:t xml:space="preserve">November </w:t>
            </w:r>
          </w:p>
        </w:tc>
        <w:tc>
          <w:tcPr>
            <w:tcW w:w="2501" w:type="pct"/>
            <w:tcBorders>
              <w:top w:val="nil"/>
              <w:left w:val="nil"/>
              <w:bottom w:val="single" w:sz="4" w:space="0" w:color="auto"/>
              <w:right w:val="nil"/>
            </w:tcBorders>
          </w:tcPr>
          <w:p w14:paraId="44DE1B8D" w14:textId="4BB39D99" w:rsidR="0094389E" w:rsidRPr="00320594" w:rsidRDefault="0094389E" w:rsidP="00325018">
            <w:pPr>
              <w:jc w:val="center"/>
              <w:rPr>
                <w:sz w:val="20"/>
                <w:szCs w:val="20"/>
              </w:rPr>
            </w:pPr>
            <w:r>
              <w:rPr>
                <w:sz w:val="20"/>
                <w:szCs w:val="20"/>
              </w:rPr>
              <w:t>47</w:t>
            </w:r>
          </w:p>
        </w:tc>
      </w:tr>
    </w:tbl>
    <w:p w14:paraId="42B221C8" w14:textId="77777777" w:rsidR="0094389E" w:rsidRDefault="0094389E" w:rsidP="00942920">
      <w:pPr>
        <w:pStyle w:val="JFSINormal"/>
      </w:pPr>
    </w:p>
    <w:p w14:paraId="2D7CFB19" w14:textId="77777777" w:rsidR="0094389E" w:rsidRDefault="0094389E" w:rsidP="0094389E">
      <w:pPr>
        <w:pStyle w:val="JFSINormal"/>
      </w:pPr>
      <w:r>
        <w:t>Keberhasilan KUFI LUWAK terlihat dari peningkatan jumlah pasien yang memanfaatkan layanan konseling farmasi. Data menunjukkan peningkatan rata-rata pasien dari 10 orang per bulan menjadi 22 orang, lalu meningkat menjadi 47 orang. Temuan ini menunjukkan bahwa penggunaan WhatsApp berhasil meningkatkan aksesibilitas layanan konseling farmasi, terutama bagi pasien yang memiliki keterbatasan waktu, jarak, atau kemampuan bergerak.</w:t>
      </w:r>
    </w:p>
    <w:p w14:paraId="54EF0DCD" w14:textId="62975D36" w:rsidR="0094389E" w:rsidRPr="00AF0331" w:rsidRDefault="0094389E" w:rsidP="0094389E">
      <w:pPr>
        <w:pStyle w:val="JFSINormal"/>
      </w:pPr>
      <w:r>
        <w:t xml:space="preserve">Keberhasilan inovasi KUFI LUWAK bisa dijelaskan dengan kerangka COM-B (Capability, Opportunity, Motivation–Behaviour), yang terlihat dari peningkatan jumlah pasien yang menggunakan layanan konseling farmasi. Dari segi peluang (Opportunity), penggunaan media WhatsApp sebagai sarana konseling farmasi jarak jauh </w:t>
      </w:r>
      <w:r>
        <w:t xml:space="preserve">membantu meningkatkan akses layanan, terutama bagi pasien yang memiliki keterbatasan waktu, jarak, atau kemampuan bergerak. Pendekatan ini memungkinkan pasien tetap mendapatkan layanan tanpa harus datang langsung ke Puskesmas, sehingga mengurangi hambatan fisik dan logistik. Aspek kemampuan (Capability) terlihat dari kemampuan apoteker dalam memberikan konseling farmasi secara daring. Mereka mampu berkomunikasi dengan baik, memberikan edukasi tentang obat, serta memantau pasien melalui media digital. Kemampuan ini membantu menjalankan layanan konseling secara efektif sekaligus memastikan privasi dan kualitas layanan kefarmasian meskipun dilakukan jarak jauh. Dari aspek motivasi (Motivation), baik pasien maupun apoteker menunjukkan sikap positif terhadap layanan telemedisin KUFI LUWAK. Pasien tertarik menggunakan layanan karena mudah diakses dan respons cepat dari apoteker. Sementara itu, apoteker termotivasi oleh tanggung jawab profesionalnya untuk meningkatkan kepatuhan, keselamatan, dan hasil pengobatan pasien. Secara keseluruhan, kerja sama antara kemampuan tenaga kefarmasian, peluang akses yang diberikan teknologi, serta motivasi yang kuat mendorong perubahan perilaku masyarakat dalam menggunakan  layanan  konseling  farmasi. Hal ini berkontribusi pada kesuksesan inovasi layanan </w:t>
      </w:r>
      <w:r>
        <w:lastRenderedPageBreak/>
        <w:t>telemedisin dengan program KUFI LUWAK di Puskesmas Gayamsari.</w:t>
      </w:r>
    </w:p>
    <w:p w14:paraId="347EA1E8" w14:textId="77777777" w:rsidR="00320594" w:rsidRPr="00320594" w:rsidRDefault="00320594" w:rsidP="00B43468">
      <w:pPr>
        <w:pStyle w:val="JFSINormal"/>
      </w:pPr>
    </w:p>
    <w:p w14:paraId="3851F823" w14:textId="4DF03D19" w:rsidR="00162942" w:rsidRPr="00320594" w:rsidRDefault="008D7701" w:rsidP="008D7701">
      <w:pPr>
        <w:pStyle w:val="JFSIBAB"/>
      </w:pPr>
      <w:r w:rsidRPr="00320594">
        <w:t>Kesimpulan</w:t>
      </w:r>
    </w:p>
    <w:p w14:paraId="4E49F74A" w14:textId="77777777" w:rsidR="00470460" w:rsidRDefault="00470460" w:rsidP="00470460">
      <w:pPr>
        <w:pStyle w:val="JFSINormal"/>
      </w:pPr>
      <w:r>
        <w:t>Penerapan telemedisin melalui Program Kunjungan dan Konseling Farmasi Secara Virtual (KUFI LUWAK) di Puskesmas Gayamsari terbukti efektif dan berpotensi dikembangkan sebagai inovasi pelayanan kefarmasian di FKTP. Keberhasilan program didukung oleh kapabilitas apoteker, peluang regulasi telemedisin, serta motivasi profesional tenaga kefarmasian berdasarkan pendekatan COM-B.</w:t>
      </w:r>
    </w:p>
    <w:p w14:paraId="6D7E74CF" w14:textId="49D456FB" w:rsidR="00812E02" w:rsidRPr="00320594" w:rsidRDefault="00470460" w:rsidP="00470460">
      <w:pPr>
        <w:pStyle w:val="JFSINormal"/>
      </w:pPr>
      <w:r>
        <w:t>Pemanfaatan WhatsApp meningkatkan akses konseling farmasi, khususnya bagi pasien kronis dan lansia, yang ditunjukkan oleh peningkatan jumlah pasien dari 10 menjadi 47 orang per bulan. Dukungan pimpinan, kolaborasi lintas program, serta pendekatan edukatif dan empatik melalui media digital memperkuat implementasi program. Meskipun belum ada pedoman teknis khusus, KUFI LUWAK menunjukkan bahwa inovasi lokal dapat berjalan efektif dan berpotensi direplikasi dengan dukungan regulasi yang lebih terstruktur.</w:t>
      </w:r>
      <w:r w:rsidR="00812E02" w:rsidRPr="00320594">
        <w:t xml:space="preserve"> </w:t>
      </w:r>
    </w:p>
    <w:p w14:paraId="2EBFB218" w14:textId="282949D1" w:rsidR="00812E02" w:rsidRPr="00320594" w:rsidRDefault="00812E02" w:rsidP="00812E02">
      <w:pPr>
        <w:pStyle w:val="JFSINormal"/>
      </w:pPr>
    </w:p>
    <w:p w14:paraId="63AD833B" w14:textId="60A2AD86" w:rsidR="008D7701" w:rsidRPr="00320594" w:rsidRDefault="008D7701" w:rsidP="0094389E">
      <w:pPr>
        <w:pStyle w:val="JFSIBAB"/>
      </w:pPr>
      <w:r w:rsidRPr="00320594">
        <w:t>Daftar Pustaka</w:t>
      </w:r>
    </w:p>
    <w:p w14:paraId="3695A4BC" w14:textId="57E8BD8F" w:rsidR="0094389E" w:rsidRDefault="00AF0331" w:rsidP="0094389E">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94389E">
        <w:rPr>
          <w:noProof/>
        </w:rPr>
        <w:t>Digambiro, R.</w:t>
      </w:r>
      <w:r w:rsidR="0094389E">
        <w:rPr>
          <w:noProof/>
        </w:rPr>
        <w:tab/>
        <w:t>A., Ilona, F., Ayu, D., Setyaningrum, W., Chendrasari, J., &amp; Lestari, I.</w:t>
      </w:r>
      <w:r w:rsidR="0094389E">
        <w:rPr>
          <w:noProof/>
        </w:rPr>
        <w:tab/>
        <w:t>W. (2025). The Use Of Telemedicine In Primary Healthcare Services In Jakarta. 13(3), 561–570.</w:t>
      </w:r>
    </w:p>
    <w:p w14:paraId="33FF7D3A" w14:textId="77777777" w:rsidR="0094389E" w:rsidRDefault="0094389E" w:rsidP="0094389E">
      <w:pPr>
        <w:widowControl w:val="0"/>
        <w:autoSpaceDE w:val="0"/>
        <w:autoSpaceDN w:val="0"/>
        <w:adjustRightInd w:val="0"/>
        <w:ind w:left="480" w:hanging="480"/>
        <w:rPr>
          <w:noProof/>
        </w:rPr>
      </w:pPr>
      <w:r>
        <w:rPr>
          <w:noProof/>
        </w:rPr>
        <w:t>DPR</w:t>
      </w:r>
      <w:r>
        <w:rPr>
          <w:noProof/>
        </w:rPr>
        <w:tab/>
        <w:t xml:space="preserve"> RI. (2023). Undang-Undang Republik Indonesia Nomor 17 Tahun 2023 Tentang Kesehatan. Undang-Undang, 187315, 1–300. </w:t>
      </w:r>
    </w:p>
    <w:p w14:paraId="4FC725A3" w14:textId="718AA7AC" w:rsidR="0094389E" w:rsidRDefault="0094389E" w:rsidP="0094389E">
      <w:pPr>
        <w:widowControl w:val="0"/>
        <w:autoSpaceDE w:val="0"/>
        <w:autoSpaceDN w:val="0"/>
        <w:adjustRightInd w:val="0"/>
        <w:ind w:left="480" w:hanging="480"/>
        <w:rPr>
          <w:noProof/>
        </w:rPr>
      </w:pPr>
      <w:r>
        <w:rPr>
          <w:noProof/>
        </w:rPr>
        <w:t>Imam, M. T., Alanazi, K., Almakwini, A., Alahmadi, Z., Ali, M., Alqahtani, K., Alharbi, S., &amp; Ahmed, N. J. (2024). An assessment of the knowledge, perception, and willingness to use telepharmacy services among the general public in Riyadh. Medicine (United States), 103(50), e40853. https://doi.org/10.1097/MD.00000000000408 53</w:t>
      </w:r>
    </w:p>
    <w:p w14:paraId="25FBC7DE" w14:textId="553F44E4" w:rsidR="0094389E" w:rsidRDefault="0094389E" w:rsidP="0094389E">
      <w:pPr>
        <w:widowControl w:val="0"/>
        <w:autoSpaceDE w:val="0"/>
        <w:autoSpaceDN w:val="0"/>
        <w:adjustRightInd w:val="0"/>
        <w:ind w:left="480" w:hanging="480"/>
        <w:rPr>
          <w:noProof/>
        </w:rPr>
      </w:pPr>
      <w:r>
        <w:rPr>
          <w:noProof/>
        </w:rPr>
        <w:t>Irvine, K. N., Fisher, D., Currie, M., Colley, K., &amp; Warber, S. L. (2024). A Nature-Based Intervention for Promoting Physical Activity in Older Adults : A Qualitative Study Using the COM-B Model.</w:t>
      </w:r>
    </w:p>
    <w:p w14:paraId="7D8D7901" w14:textId="2DCBD0BF" w:rsidR="0094389E" w:rsidRDefault="0094389E" w:rsidP="0094389E">
      <w:pPr>
        <w:widowControl w:val="0"/>
        <w:autoSpaceDE w:val="0"/>
        <w:autoSpaceDN w:val="0"/>
        <w:adjustRightInd w:val="0"/>
        <w:ind w:left="480" w:hanging="480"/>
        <w:rPr>
          <w:noProof/>
        </w:rPr>
      </w:pPr>
      <w:r>
        <w:rPr>
          <w:noProof/>
        </w:rPr>
        <w:t xml:space="preserve">Jacome-hortua, A. M., Rincon-rueda, Z. R., </w:t>
      </w:r>
      <w:r>
        <w:rPr>
          <w:noProof/>
        </w:rPr>
        <w:t>Sanchez-ramirez, D. C., &amp; Angarita-fonseca, A. (2024). Effects of a WhatsApp-Assisted Health Educational Intervention for Cardiac Rehabilitation : A Randomized Controlled Clinical Trial Protocol. 1–10.</w:t>
      </w:r>
    </w:p>
    <w:p w14:paraId="31D0A603" w14:textId="3EAD0800" w:rsidR="0094389E" w:rsidRDefault="0094389E" w:rsidP="0094389E">
      <w:pPr>
        <w:widowControl w:val="0"/>
        <w:autoSpaceDE w:val="0"/>
        <w:autoSpaceDN w:val="0"/>
        <w:adjustRightInd w:val="0"/>
        <w:ind w:left="480" w:hanging="480"/>
        <w:rPr>
          <w:noProof/>
        </w:rPr>
      </w:pPr>
      <w:r>
        <w:rPr>
          <w:noProof/>
        </w:rPr>
        <w:t>Maharani, A., Anggita, D., Witriani, E., &amp; Purba, S. H. (2024). Evaluasi Pemanfaatan Penerapan Telemedicine di Indonesia : Literatur Riview. 3, 155–165.</w:t>
      </w:r>
    </w:p>
    <w:p w14:paraId="57B4F6F6" w14:textId="284E91E4" w:rsidR="0094389E" w:rsidRDefault="0094389E" w:rsidP="0094389E">
      <w:pPr>
        <w:widowControl w:val="0"/>
        <w:autoSpaceDE w:val="0"/>
        <w:autoSpaceDN w:val="0"/>
        <w:adjustRightInd w:val="0"/>
        <w:ind w:left="480" w:hanging="480"/>
        <w:rPr>
          <w:noProof/>
        </w:rPr>
      </w:pPr>
      <w:r>
        <w:rPr>
          <w:noProof/>
        </w:rPr>
        <w:t>Naim, N., Farrukh, M. J., Fatokun, O., Afendi, N. S. H. N., Adiba, S. S. P., &amp; Hatah, E. (2023). Are malaysian ready to adopt telepharmacy services during the new norm? A cross-sectional survey. Current Trends in Biotechnology and Pharmacy, 17(4A), 34–41. https://doi.org/10.5530/ctbp.2023.4s.88</w:t>
      </w:r>
    </w:p>
    <w:p w14:paraId="13A7AD0C" w14:textId="7B62F8C4" w:rsidR="0094389E" w:rsidRDefault="0094389E" w:rsidP="0094389E">
      <w:pPr>
        <w:widowControl w:val="0"/>
        <w:autoSpaceDE w:val="0"/>
        <w:autoSpaceDN w:val="0"/>
        <w:adjustRightInd w:val="0"/>
        <w:ind w:left="480" w:hanging="480"/>
        <w:rPr>
          <w:noProof/>
        </w:rPr>
      </w:pPr>
      <w:r>
        <w:rPr>
          <w:noProof/>
        </w:rPr>
        <w:t>Olowoyo, K. S., Esan, D. T., Olowoyo, P., Oyinloye, B. E., Fawole, I. O., Aderibigbe, S., Adigun, M. O., Olawade, D. B., Esan, T. O., &amp; Adeyanju, B. T. (2025). Treatment Adherence and Outcomes in Patients with Tuberculosis Treated with Telemedicine: A Scoping  Review.  Tropical  Medicine  and Infectious</w:t>
      </w:r>
      <w:r>
        <w:rPr>
          <w:noProof/>
        </w:rPr>
        <w:tab/>
        <w:t xml:space="preserve">Disease, 10(3), 1–16. https://doi.org/10.3390/tropicalmed10030078 </w:t>
      </w:r>
    </w:p>
    <w:p w14:paraId="760F8F41" w14:textId="7F4B51B1" w:rsidR="0094389E" w:rsidRDefault="0094389E" w:rsidP="0094389E">
      <w:pPr>
        <w:widowControl w:val="0"/>
        <w:autoSpaceDE w:val="0"/>
        <w:autoSpaceDN w:val="0"/>
        <w:adjustRightInd w:val="0"/>
        <w:ind w:left="480" w:hanging="480"/>
        <w:rPr>
          <w:noProof/>
        </w:rPr>
      </w:pPr>
      <w:r>
        <w:rPr>
          <w:noProof/>
        </w:rPr>
        <w:t>Permana, R., Afrizal, Yunus, F., &amp; Bachtiar, and A.</w:t>
      </w:r>
      <w:r>
        <w:rPr>
          <w:noProof/>
        </w:rPr>
        <w:tab/>
        <w:t>(2025).</w:t>
      </w:r>
      <w:r>
        <w:rPr>
          <w:noProof/>
        </w:rPr>
        <w:tab/>
        <w:t xml:space="preserve"> Exploration of Concordance Behavior between Tuberculosis Patients , Families, and Healthcare</w:t>
      </w:r>
      <w:r>
        <w:rPr>
          <w:noProof/>
        </w:rPr>
        <w:tab/>
        <w:t xml:space="preserve"> Workers in Supporting Treatment Adherence : A. 1–9. https://doi.org/10.2174/01187494453650742 50103103825</w:t>
      </w:r>
    </w:p>
    <w:p w14:paraId="29301708" w14:textId="3A8766BD" w:rsidR="0094389E" w:rsidRDefault="0094389E" w:rsidP="0094389E">
      <w:pPr>
        <w:widowControl w:val="0"/>
        <w:autoSpaceDE w:val="0"/>
        <w:autoSpaceDN w:val="0"/>
        <w:adjustRightInd w:val="0"/>
        <w:ind w:left="480" w:hanging="480"/>
        <w:rPr>
          <w:noProof/>
        </w:rPr>
      </w:pPr>
      <w:r>
        <w:rPr>
          <w:noProof/>
        </w:rPr>
        <w:t>PP RI. (2024). Peraturan Pemerintah (PP) Nomor 28 Tahun 2024 tentang Peraturan Pelaksanaan Undang-Undang Nomor 17 Tahun 2023 tentang Kesehatan. Kemenkes RI, 226975, 656. https://peraturan.bpk.go.id/Details/294077/pp-no-28-tahun-2024</w:t>
      </w:r>
    </w:p>
    <w:p w14:paraId="34F05158" w14:textId="18CA22BA" w:rsidR="0094389E" w:rsidRDefault="0094389E" w:rsidP="0094389E">
      <w:pPr>
        <w:widowControl w:val="0"/>
        <w:autoSpaceDE w:val="0"/>
        <w:autoSpaceDN w:val="0"/>
        <w:adjustRightInd w:val="0"/>
        <w:ind w:left="480" w:hanging="480"/>
        <w:rPr>
          <w:noProof/>
        </w:rPr>
      </w:pPr>
      <w:r>
        <w:rPr>
          <w:noProof/>
        </w:rPr>
        <w:t>Prima, L, P. O., &amp; Nurhidayati, E. (2025). Penerapan Telemedicine dalam Mendukung Integrasi Pelayanan Kesehatan Primer. 06(01), 10–16.</w:t>
      </w:r>
    </w:p>
    <w:p w14:paraId="026D62BB" w14:textId="12B105E4" w:rsidR="0094389E" w:rsidRDefault="0094389E" w:rsidP="0094389E">
      <w:pPr>
        <w:widowControl w:val="0"/>
        <w:autoSpaceDE w:val="0"/>
        <w:autoSpaceDN w:val="0"/>
        <w:adjustRightInd w:val="0"/>
        <w:ind w:left="480" w:hanging="480"/>
        <w:rPr>
          <w:noProof/>
        </w:rPr>
      </w:pPr>
      <w:r>
        <w:rPr>
          <w:noProof/>
        </w:rPr>
        <w:t>Reginata, G., &amp; Noviani, K. (2025). Perkembangan Teledermoskopi di Indonesia : Tinjauan Perspektif Hukum Kesehatan. 52(11), 751–755.</w:t>
      </w:r>
    </w:p>
    <w:p w14:paraId="15398990" w14:textId="77777777" w:rsidR="0094389E" w:rsidRDefault="0094389E" w:rsidP="0094389E">
      <w:pPr>
        <w:widowControl w:val="0"/>
        <w:autoSpaceDE w:val="0"/>
        <w:autoSpaceDN w:val="0"/>
        <w:adjustRightInd w:val="0"/>
        <w:ind w:left="480" w:hanging="480"/>
        <w:rPr>
          <w:noProof/>
        </w:rPr>
      </w:pPr>
      <w:r>
        <w:rPr>
          <w:noProof/>
        </w:rPr>
        <w:t xml:space="preserve">Royce, R., Marie, Y., Beleno, G., Gonzales, M., &amp; Isabelle, N. (2024). Exploratory Research in Clinical and Social Pharmacy “ I ’ m not very </w:t>
      </w:r>
      <w:r>
        <w:rPr>
          <w:noProof/>
        </w:rPr>
        <w:lastRenderedPageBreak/>
        <w:t xml:space="preserve">skilled in using gadgets : ” A qualitative exploration of the facilitators and barriers to using telepharmacy services among Filipino senior citizens. Exploratory Research in Clinical and Social Pharmacy, 15(July), 100477. https://doi.org/10.1016/j.rcsop.2024.100477 </w:t>
      </w:r>
    </w:p>
    <w:p w14:paraId="13DB664F" w14:textId="231FBE39" w:rsidR="0094389E" w:rsidRDefault="0094389E" w:rsidP="0094389E">
      <w:pPr>
        <w:widowControl w:val="0"/>
        <w:autoSpaceDE w:val="0"/>
        <w:autoSpaceDN w:val="0"/>
        <w:adjustRightInd w:val="0"/>
        <w:ind w:left="480" w:hanging="480"/>
        <w:rPr>
          <w:noProof/>
        </w:rPr>
      </w:pPr>
      <w:r>
        <w:rPr>
          <w:noProof/>
        </w:rPr>
        <w:t>Sabrina, M. I., &amp; Defi, I. R. (2021). Telemedicine Guidelines in South East Asia — A Scoping Review. 11(January), 1–13. https://doi.org/10.3389/fneur.2020.581649</w:t>
      </w:r>
    </w:p>
    <w:p w14:paraId="2161D751" w14:textId="570C0B06" w:rsidR="0094389E" w:rsidRDefault="0094389E" w:rsidP="0094389E">
      <w:pPr>
        <w:widowControl w:val="0"/>
        <w:autoSpaceDE w:val="0"/>
        <w:autoSpaceDN w:val="0"/>
        <w:adjustRightInd w:val="0"/>
        <w:ind w:left="480" w:hanging="480"/>
        <w:rPr>
          <w:noProof/>
        </w:rPr>
      </w:pPr>
      <w:r>
        <w:rPr>
          <w:noProof/>
        </w:rPr>
        <w:t>Salsabila, I. N., Meilinda, S., Rahayu, R., Fathiya, D.  N.,  &amp;  Karsa,  A.  H.  A.  N.  (2024). Telemedicine: Healthcare Transformation in the Digital Era for Rural Communities. 1(1), 1–7.</w:t>
      </w:r>
    </w:p>
    <w:p w14:paraId="4142B47D" w14:textId="6E2251D4" w:rsidR="0094389E" w:rsidRDefault="0094389E" w:rsidP="0094389E">
      <w:pPr>
        <w:widowControl w:val="0"/>
        <w:autoSpaceDE w:val="0"/>
        <w:autoSpaceDN w:val="0"/>
        <w:adjustRightInd w:val="0"/>
        <w:ind w:left="480" w:hanging="480"/>
        <w:rPr>
          <w:noProof/>
        </w:rPr>
      </w:pPr>
      <w:r>
        <w:rPr>
          <w:noProof/>
        </w:rPr>
        <w:t>Sarasmita, M. A., Sudarma, I. W., Adi Jaya, M. K., Irham, L. M., &amp; Susanty, S. (2024). Telepharmacy Implementation to Support Pharmaceutical Care Services during the COVID-19 Pandemic: A Scoping Review. Canadian Journal of Hospital Pharmacy, 77(1),</w:t>
      </w:r>
      <w:r>
        <w:rPr>
          <w:noProof/>
        </w:rPr>
        <w:tab/>
        <w:t>1–20. https://doi.org/10.4212/cjhp.3430</w:t>
      </w:r>
    </w:p>
    <w:p w14:paraId="4CDBD772" w14:textId="6459C5F1" w:rsidR="0094389E" w:rsidRDefault="0094389E" w:rsidP="0094389E">
      <w:pPr>
        <w:widowControl w:val="0"/>
        <w:autoSpaceDE w:val="0"/>
        <w:autoSpaceDN w:val="0"/>
        <w:adjustRightInd w:val="0"/>
        <w:ind w:left="480" w:hanging="480"/>
        <w:rPr>
          <w:noProof/>
        </w:rPr>
      </w:pPr>
      <w:r>
        <w:rPr>
          <w:noProof/>
        </w:rPr>
        <w:t>Siboro, M. D., Surjoputro, A., &amp; Budiyanti, R. T. (2021). Faktor-Faktor Yang Mempengaruhi penggunaan Layanan Telemedicine pada Masa Pandemi Covid-19 Di Pulau Jawa. Jurnal Kesehatan Masyarakat (e-Journal) Volume 9, Nomor 5, September 2021, 9(September), 613–620.</w:t>
      </w:r>
    </w:p>
    <w:p w14:paraId="172257F9" w14:textId="77777777" w:rsidR="0094389E" w:rsidRDefault="0094389E" w:rsidP="0094389E">
      <w:pPr>
        <w:widowControl w:val="0"/>
        <w:autoSpaceDE w:val="0"/>
        <w:autoSpaceDN w:val="0"/>
        <w:adjustRightInd w:val="0"/>
        <w:ind w:left="480" w:hanging="480"/>
        <w:rPr>
          <w:noProof/>
        </w:rPr>
      </w:pPr>
      <w:r>
        <w:rPr>
          <w:noProof/>
        </w:rPr>
        <w:t xml:space="preserve">Suwanbamrung, C., Srinam, B., Promkool, P., &amp; Id, H. S. (2024). Uptake of COVID-19 vaccine among high-risk urban populations in Southern Thailand using the COM-B model. 59, 1–12. https://doi.org/10.1371/journal.pone.0300509 </w:t>
      </w:r>
    </w:p>
    <w:p w14:paraId="6434C4D7" w14:textId="77777777" w:rsidR="0094389E" w:rsidRDefault="0094389E" w:rsidP="0094389E">
      <w:pPr>
        <w:widowControl w:val="0"/>
        <w:autoSpaceDE w:val="0"/>
        <w:autoSpaceDN w:val="0"/>
        <w:adjustRightInd w:val="0"/>
        <w:ind w:left="480" w:hanging="480"/>
        <w:rPr>
          <w:noProof/>
        </w:rPr>
      </w:pPr>
      <w:r>
        <w:rPr>
          <w:noProof/>
        </w:rPr>
        <w:t xml:space="preserve">Triana, R., Pujiyanto, P., &amp; Chandra, E. (2023). Efektifitas Telemedicine Pada Pengobatan Tuberculosis Pada Negara Berpenghasilan Menengah ke Bawah: Systematic Review. J-KESMAS: Jurnal Kesehatan Masyarakat, 9(2), 118. https://doi.org/10.35329/jkesmas.v9i2.4823 </w:t>
      </w:r>
    </w:p>
    <w:p w14:paraId="3B3BA1DC" w14:textId="094F258E" w:rsidR="0094389E" w:rsidRDefault="0094389E" w:rsidP="0094389E">
      <w:pPr>
        <w:widowControl w:val="0"/>
        <w:autoSpaceDE w:val="0"/>
        <w:autoSpaceDN w:val="0"/>
        <w:adjustRightInd w:val="0"/>
        <w:ind w:left="480" w:hanging="480"/>
        <w:rPr>
          <w:noProof/>
        </w:rPr>
      </w:pPr>
      <w:r>
        <w:rPr>
          <w:noProof/>
        </w:rPr>
        <w:t>Wardhani, A., Permanasari, F. G., &amp; Letare, Y. N. (2025). Telemedicine in the Health Communication Industry : A Systematic Review and Implications for Indonesia. 3(12), 2150–2165.</w:t>
      </w:r>
    </w:p>
    <w:p w14:paraId="2A938F22" w14:textId="70E1E463" w:rsidR="00F94006" w:rsidRPr="00F94006" w:rsidRDefault="0094389E" w:rsidP="0094389E">
      <w:pPr>
        <w:widowControl w:val="0"/>
        <w:autoSpaceDE w:val="0"/>
        <w:autoSpaceDN w:val="0"/>
        <w:adjustRightInd w:val="0"/>
        <w:ind w:left="480" w:hanging="480"/>
        <w:rPr>
          <w:noProof/>
        </w:rPr>
      </w:pPr>
      <w:r>
        <w:rPr>
          <w:noProof/>
        </w:rPr>
        <w:t xml:space="preserve">Wathoni, N., Lestari, K., Iftinan, G., Rahayu, S., </w:t>
      </w:r>
      <w:r>
        <w:rPr>
          <w:noProof/>
        </w:rPr>
        <w:t>Nurlatifah, A., Khairinisa, M., &amp; Elamin, K. (2023). Knowledge, Perception, and Readiness of Indonesian Pharmacists for the Implementation of Telepharmacy-Based Pharmaceutical Services in Indonesia. Integrated Pharmacy Research and Practice, Volume</w:t>
      </w:r>
      <w:r>
        <w:rPr>
          <w:noProof/>
        </w:rPr>
        <w:tab/>
        <w:t>12(November),</w:t>
      </w:r>
      <w:r>
        <w:rPr>
          <w:noProof/>
        </w:rPr>
        <w:tab/>
        <w:t>213–225. https://doi.org/10.2147/iprp.s434790</w:t>
      </w:r>
    </w:p>
    <w:p w14:paraId="7C170866" w14:textId="7CC18589" w:rsidR="00AF0331" w:rsidRPr="00320594" w:rsidRDefault="00AF0331" w:rsidP="008D7701">
      <w:pPr>
        <w:pStyle w:val="JFSINormal"/>
      </w:pPr>
      <w:r>
        <w:fldChar w:fldCharType="end"/>
      </w:r>
      <w:bookmarkEnd w:id="0"/>
    </w:p>
    <w:sectPr w:rsidR="00AF0331" w:rsidRPr="00320594" w:rsidSect="00967D71">
      <w:headerReference w:type="default" r:id="rId15"/>
      <w:footerReference w:type="default" r:id="rId16"/>
      <w:type w:val="continuous"/>
      <w:pgSz w:w="11906" w:h="16838"/>
      <w:pgMar w:top="1418" w:right="907" w:bottom="1418" w:left="907" w:header="708"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9559" w14:textId="77777777" w:rsidR="009D7439" w:rsidRDefault="009D7439" w:rsidP="00B43468">
      <w:r>
        <w:separator/>
      </w:r>
    </w:p>
  </w:endnote>
  <w:endnote w:type="continuationSeparator" w:id="0">
    <w:p w14:paraId="53B5D6A8" w14:textId="77777777" w:rsidR="009D7439" w:rsidRDefault="009D7439" w:rsidP="00B4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8A8" w14:textId="77777777" w:rsidR="00896264" w:rsidRDefault="0089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251270"/>
      <w:docPartObj>
        <w:docPartGallery w:val="Page Numbers (Bottom of Page)"/>
        <w:docPartUnique/>
      </w:docPartObj>
    </w:sdtPr>
    <w:sdtContent>
      <w:p w14:paraId="47E3DACE" w14:textId="4533F769" w:rsidR="00967D71" w:rsidRDefault="00967D71">
        <w:pPr>
          <w:pStyle w:val="Footer"/>
          <w:jc w:val="center"/>
        </w:pPr>
        <w:r>
          <w:fldChar w:fldCharType="begin"/>
        </w:r>
        <w:r>
          <w:instrText>PAGE   \* MERGEFORMAT</w:instrText>
        </w:r>
        <w:r>
          <w:fldChar w:fldCharType="separate"/>
        </w:r>
        <w:r>
          <w:t>2</w:t>
        </w:r>
        <w:r>
          <w:fldChar w:fldCharType="end"/>
        </w:r>
      </w:p>
    </w:sdtContent>
  </w:sdt>
  <w:p w14:paraId="6FF5BBC6" w14:textId="77777777" w:rsidR="00967D71" w:rsidRDefault="00967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5191" w14:textId="30780C4E" w:rsidR="00594A9C" w:rsidRDefault="00470460" w:rsidP="00594A9C">
    <w:pPr>
      <w:pStyle w:val="Footer"/>
      <w:tabs>
        <w:tab w:val="clear" w:pos="4513"/>
        <w:tab w:val="clear" w:pos="9026"/>
        <w:tab w:val="center" w:pos="5103"/>
        <w:tab w:val="right" w:pos="10065"/>
      </w:tabs>
    </w:pPr>
    <w:r>
      <w:t xml:space="preserve">Suwarni </w:t>
    </w:r>
    <w:r>
      <w:t>dkk</w:t>
    </w:r>
    <w:r w:rsidR="00594A9C">
      <w:t xml:space="preserve">, </w:t>
    </w:r>
    <w:r>
      <w:t>Desember</w:t>
    </w:r>
    <w:r w:rsidR="00594A9C">
      <w:t xml:space="preserve"> 20</w:t>
    </w:r>
    <w:r>
      <w:t>25</w:t>
    </w:r>
    <w:r w:rsidR="00594A9C">
      <w:tab/>
    </w:r>
    <w:r w:rsidR="00594A9C">
      <w:tab/>
    </w:r>
    <w:r w:rsidR="00594A9C">
      <w:fldChar w:fldCharType="begin"/>
    </w:r>
    <w:r w:rsidR="00594A9C">
      <w:instrText>PAGE   \* MERGEFORMAT</w:instrText>
    </w:r>
    <w:r w:rsidR="00594A9C">
      <w:fldChar w:fldCharType="separate"/>
    </w:r>
    <w:r w:rsidR="00594A9C">
      <w:t>2</w:t>
    </w:r>
    <w:r w:rsidR="00594A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3866" w14:textId="2D798C13" w:rsidR="00967D71" w:rsidRDefault="00470460" w:rsidP="00967D71">
    <w:pPr>
      <w:pStyle w:val="Footer"/>
      <w:tabs>
        <w:tab w:val="clear" w:pos="4513"/>
        <w:tab w:val="clear" w:pos="9026"/>
        <w:tab w:val="center" w:pos="5103"/>
        <w:tab w:val="right" w:pos="10065"/>
      </w:tabs>
    </w:pPr>
    <w:r>
      <w:t>Suwarni dkk</w:t>
    </w:r>
    <w:r w:rsidR="00967D71">
      <w:t xml:space="preserve">, </w:t>
    </w:r>
    <w:r>
      <w:t>Desember</w:t>
    </w:r>
    <w:r w:rsidR="00967D71">
      <w:t xml:space="preserve"> 20</w:t>
    </w:r>
    <w:r>
      <w:t>25</w:t>
    </w:r>
    <w:r w:rsidR="00967D71">
      <w:tab/>
    </w:r>
    <w:r w:rsidR="00967D71">
      <w:tab/>
    </w:r>
    <w:r w:rsidR="00967D71">
      <w:fldChar w:fldCharType="begin"/>
    </w:r>
    <w:r w:rsidR="00967D71">
      <w:instrText>PAGE   \* MERGEFORMAT</w:instrText>
    </w:r>
    <w:r w:rsidR="00967D71">
      <w:fldChar w:fldCharType="separate"/>
    </w:r>
    <w:r w:rsidR="00967D71">
      <w:t>1</w:t>
    </w:r>
    <w:r w:rsidR="00967D71">
      <w:fldChar w:fldCharType="end"/>
    </w:r>
  </w:p>
  <w:p w14:paraId="53DE3B75" w14:textId="77777777" w:rsidR="00967D71" w:rsidRDefault="00967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BE9D" w14:textId="77777777" w:rsidR="009D7439" w:rsidRDefault="009D7439" w:rsidP="00B43468">
      <w:r>
        <w:separator/>
      </w:r>
    </w:p>
  </w:footnote>
  <w:footnote w:type="continuationSeparator" w:id="0">
    <w:p w14:paraId="1C6933C8" w14:textId="77777777" w:rsidR="009D7439" w:rsidRDefault="009D7439" w:rsidP="00B43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226E" w14:textId="77777777" w:rsidR="00896264" w:rsidRDefault="00896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CFF9" w14:textId="79204D06" w:rsidR="00B43468" w:rsidRDefault="00326337" w:rsidP="00326337">
    <w:pPr>
      <w:rPr>
        <w:sz w:val="48"/>
        <w:szCs w:val="48"/>
      </w:rPr>
    </w:pPr>
    <w:r>
      <w:rPr>
        <w:noProof/>
      </w:rPr>
      <w:drawing>
        <wp:inline distT="0" distB="0" distL="0" distR="0" wp14:anchorId="62013743" wp14:editId="32B383EF">
          <wp:extent cx="1555750" cy="662273"/>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
                    <a:extLst>
                      <a:ext uri="{28A0092B-C50C-407E-A947-70E740481C1C}">
                        <a14:useLocalDpi xmlns:a14="http://schemas.microsoft.com/office/drawing/2010/main" val="0"/>
                      </a:ext>
                    </a:extLst>
                  </a:blip>
                  <a:srcRect b="12088"/>
                  <a:stretch/>
                </pic:blipFill>
                <pic:spPr bwMode="auto">
                  <a:xfrm>
                    <a:off x="0" y="0"/>
                    <a:ext cx="1566768" cy="666963"/>
                  </a:xfrm>
                  <a:prstGeom prst="rect">
                    <a:avLst/>
                  </a:prstGeom>
                  <a:noFill/>
                  <a:ln>
                    <a:noFill/>
                  </a:ln>
                  <a:extLst>
                    <a:ext uri="{53640926-AAD7-44D8-BBD7-CCE9431645EC}">
                      <a14:shadowObscured xmlns:a14="http://schemas.microsoft.com/office/drawing/2010/main"/>
                    </a:ext>
                  </a:extLst>
                </pic:spPr>
              </pic:pic>
            </a:graphicData>
          </a:graphic>
        </wp:inline>
      </w:drawing>
    </w:r>
    <w:r w:rsidRPr="00326337">
      <w:rPr>
        <w:noProof/>
        <w:sz w:val="48"/>
        <w:szCs w:val="48"/>
      </w:rPr>
      <mc:AlternateContent>
        <mc:Choice Requires="wps">
          <w:drawing>
            <wp:inline distT="0" distB="0" distL="0" distR="0" wp14:anchorId="7E5B531D" wp14:editId="15EE7E1B">
              <wp:extent cx="3862426" cy="648970"/>
              <wp:effectExtent l="0" t="0" r="0" b="0"/>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426" cy="648970"/>
                      </a:xfrm>
                      <a:prstGeom prst="rect">
                        <a:avLst/>
                      </a:prstGeom>
                      <a:noFill/>
                      <a:ln w="9525">
                        <a:noFill/>
                        <a:miter lim="800000"/>
                        <a:headEnd/>
                        <a:tailEnd/>
                      </a:ln>
                    </wps:spPr>
                    <wps:txbx>
                      <w:txbxContent>
                        <w:p w14:paraId="5348636C" w14:textId="55EE4EDA" w:rsidR="00326337" w:rsidRPr="00942920" w:rsidRDefault="00326337" w:rsidP="00326337">
                          <w:pPr>
                            <w:jc w:val="center"/>
                            <w:rPr>
                              <w:b/>
                              <w:bCs/>
                            </w:rPr>
                          </w:pPr>
                          <w:r w:rsidRPr="00942920">
                            <w:rPr>
                              <w:b/>
                              <w:bCs/>
                            </w:rPr>
                            <w:t>www.journal.stifera.ac.id</w:t>
                          </w:r>
                        </w:p>
                        <w:p w14:paraId="5FC1EDDF" w14:textId="464F64E5" w:rsidR="00326337" w:rsidRPr="00942920" w:rsidRDefault="00326337" w:rsidP="00326337">
                          <w:pPr>
                            <w:jc w:val="center"/>
                            <w:rPr>
                              <w:rFonts w:ascii="Berlin Sans FB Demi" w:hAnsi="Berlin Sans FB Demi"/>
                              <w:sz w:val="32"/>
                              <w:szCs w:val="32"/>
                            </w:rPr>
                          </w:pPr>
                          <w:r w:rsidRPr="00942920">
                            <w:rPr>
                              <w:rFonts w:ascii="Berlin Sans FB Demi" w:hAnsi="Berlin Sans FB Demi"/>
                              <w:sz w:val="32"/>
                              <w:szCs w:val="32"/>
                            </w:rPr>
                            <w:t>JURNAL FARMASI &amp; SAINS INDONESIA</w:t>
                          </w:r>
                        </w:p>
                        <w:p w14:paraId="6EDE8B64" w14:textId="5F2C02CC" w:rsidR="00326337" w:rsidRPr="00326337" w:rsidRDefault="00942920" w:rsidP="00326337">
                          <w:pPr>
                            <w:jc w:val="center"/>
                            <w:rPr>
                              <w:rFonts w:ascii="Berlin Sans FB Demi" w:hAnsi="Berlin Sans FB Demi"/>
                              <w:sz w:val="36"/>
                              <w:szCs w:val="36"/>
                            </w:rPr>
                          </w:pPr>
                          <w:r>
                            <w:rPr>
                              <w:rFonts w:ascii="Arial" w:hAnsi="Arial" w:cs="Arial"/>
                              <w:b/>
                              <w:bCs/>
                              <w:sz w:val="18"/>
                              <w:szCs w:val="18"/>
                            </w:rPr>
                            <w:t>p-</w:t>
                          </w:r>
                          <w:r w:rsidRPr="0048487C">
                            <w:rPr>
                              <w:rFonts w:ascii="Arial" w:hAnsi="Arial" w:cs="Arial"/>
                              <w:b/>
                              <w:bCs/>
                              <w:sz w:val="18"/>
                              <w:szCs w:val="18"/>
                            </w:rPr>
                            <w:t>ISSN 2621-9360</w:t>
                          </w:r>
                          <w:r>
                            <w:rPr>
                              <w:rFonts w:ascii="Arial" w:hAnsi="Arial" w:cs="Arial"/>
                              <w:b/>
                              <w:bCs/>
                              <w:sz w:val="18"/>
                              <w:szCs w:val="18"/>
                            </w:rPr>
                            <w:tab/>
                            <w:t>e-ISSN 2686-3529</w:t>
                          </w:r>
                        </w:p>
                      </w:txbxContent>
                    </wps:txbx>
                    <wps:bodyPr rot="0" vert="horz" wrap="square" lIns="91440" tIns="45720" rIns="91440" bIns="45720" anchor="ctr" anchorCtr="0">
                      <a:noAutofit/>
                    </wps:bodyPr>
                  </wps:wsp>
                </a:graphicData>
              </a:graphic>
            </wp:inline>
          </w:drawing>
        </mc:Choice>
        <mc:Fallback>
          <w:pict>
            <v:shapetype w14:anchorId="7E5B531D" id="_x0000_t202" coordsize="21600,21600" o:spt="202" path="m,l,21600r21600,l21600,xe">
              <v:stroke joinstyle="miter"/>
              <v:path gradientshapeok="t" o:connecttype="rect"/>
            </v:shapetype>
            <v:shape id="Kotak Teks 2" o:spid="_x0000_s1026" type="#_x0000_t202" style="width:304.15pt;height:5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" filled="f" stroked="f">
              <v:textbox>
                <w:txbxContent>
                  <w:p w14:paraId="5348636C" w14:textId="55EE4EDA" w:rsidR="00326337" w:rsidRPr="00942920" w:rsidRDefault="00326337" w:rsidP="00326337">
                    <w:pPr>
                      <w:jc w:val="center"/>
                      <w:rPr>
                        <w:b/>
                        <w:bCs/>
                      </w:rPr>
                    </w:pPr>
                    <w:r w:rsidRPr="00942920">
                      <w:rPr>
                        <w:b/>
                        <w:bCs/>
                      </w:rPr>
                      <w:t>www.journal.stifera.ac.id</w:t>
                    </w:r>
                  </w:p>
                  <w:p w14:paraId="5FC1EDDF" w14:textId="464F64E5" w:rsidR="00326337" w:rsidRPr="00942920" w:rsidRDefault="00326337" w:rsidP="00326337">
                    <w:pPr>
                      <w:jc w:val="center"/>
                      <w:rPr>
                        <w:rFonts w:ascii="Berlin Sans FB Demi" w:hAnsi="Berlin Sans FB Demi"/>
                        <w:sz w:val="32"/>
                        <w:szCs w:val="32"/>
                      </w:rPr>
                    </w:pPr>
                    <w:r w:rsidRPr="00942920">
                      <w:rPr>
                        <w:rFonts w:ascii="Berlin Sans FB Demi" w:hAnsi="Berlin Sans FB Demi"/>
                        <w:sz w:val="32"/>
                        <w:szCs w:val="32"/>
                      </w:rPr>
                      <w:t>JURNAL FARMASI &amp; SAINS INDONESIA</w:t>
                    </w:r>
                  </w:p>
                  <w:p w14:paraId="6EDE8B64" w14:textId="5F2C02CC" w:rsidR="00326337" w:rsidRPr="00326337" w:rsidRDefault="00942920" w:rsidP="00326337">
                    <w:pPr>
                      <w:jc w:val="center"/>
                      <w:rPr>
                        <w:rFonts w:ascii="Berlin Sans FB Demi" w:hAnsi="Berlin Sans FB Demi"/>
                        <w:sz w:val="36"/>
                        <w:szCs w:val="36"/>
                      </w:rPr>
                    </w:pPr>
                    <w:r>
                      <w:rPr>
                        <w:rFonts w:ascii="Arial" w:hAnsi="Arial" w:cs="Arial"/>
                        <w:b/>
                        <w:bCs/>
                        <w:sz w:val="18"/>
                        <w:szCs w:val="18"/>
                      </w:rPr>
                      <w:t>p-</w:t>
                    </w:r>
                    <w:r w:rsidRPr="0048487C">
                      <w:rPr>
                        <w:rFonts w:ascii="Arial" w:hAnsi="Arial" w:cs="Arial"/>
                        <w:b/>
                        <w:bCs/>
                        <w:sz w:val="18"/>
                        <w:szCs w:val="18"/>
                      </w:rPr>
                      <w:t>ISSN 2621-9360</w:t>
                    </w:r>
                    <w:r>
                      <w:rPr>
                        <w:rFonts w:ascii="Arial" w:hAnsi="Arial" w:cs="Arial"/>
                        <w:b/>
                        <w:bCs/>
                        <w:sz w:val="18"/>
                        <w:szCs w:val="18"/>
                      </w:rPr>
                      <w:tab/>
                      <w:t>e-ISSN 2686-3529</w:t>
                    </w:r>
                  </w:p>
                </w:txbxContent>
              </v:textbox>
              <w10:anchorlock/>
            </v:shape>
          </w:pict>
        </mc:Fallback>
      </mc:AlternateContent>
    </w:r>
    <w:r w:rsidR="00942920" w:rsidRPr="00942920">
      <w:rPr>
        <w:noProof/>
        <w:sz w:val="48"/>
        <w:szCs w:val="48"/>
      </w:rPr>
      <mc:AlternateContent>
        <mc:Choice Requires="wps">
          <w:drawing>
            <wp:inline distT="0" distB="0" distL="0" distR="0" wp14:anchorId="6737C8E7" wp14:editId="79454305">
              <wp:extent cx="907085" cy="613791"/>
              <wp:effectExtent l="0" t="0" r="7620" b="0"/>
              <wp:docPr id="9"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085" cy="613791"/>
                      </a:xfrm>
                      <a:prstGeom prst="rect">
                        <a:avLst/>
                      </a:prstGeom>
                      <a:noFill/>
                      <a:ln w="9525">
                        <a:noFill/>
                        <a:miter lim="800000"/>
                        <a:headEnd/>
                        <a:tailEnd/>
                      </a:ln>
                    </wps:spPr>
                    <wps:txbx>
                      <w:txbxContent>
                        <w:p w14:paraId="63F2EAA3" w14:textId="2DC11FF9" w:rsidR="00942920" w:rsidRPr="00967D71" w:rsidRDefault="00942920" w:rsidP="00942920">
                          <w:pPr>
                            <w:jc w:val="right"/>
                            <w:rPr>
                              <w:b/>
                              <w:bCs/>
                            </w:rPr>
                          </w:pPr>
                          <w:r w:rsidRPr="00967D71">
                            <w:rPr>
                              <w:b/>
                              <w:bCs/>
                            </w:rPr>
                            <w:t xml:space="preserve">Vol. </w:t>
                          </w:r>
                          <w:r w:rsidR="00470460">
                            <w:rPr>
                              <w:b/>
                              <w:bCs/>
                            </w:rPr>
                            <w:t>8</w:t>
                          </w:r>
                          <w:r w:rsidRPr="00967D71">
                            <w:rPr>
                              <w:b/>
                              <w:bCs/>
                            </w:rPr>
                            <w:t xml:space="preserve"> No. </w:t>
                          </w:r>
                          <w:r w:rsidR="00470460">
                            <w:rPr>
                              <w:b/>
                              <w:bCs/>
                            </w:rPr>
                            <w:t>2</w:t>
                          </w:r>
                        </w:p>
                        <w:p w14:paraId="4F4A6CFF" w14:textId="172091E4" w:rsidR="00942920" w:rsidRPr="00967D71" w:rsidRDefault="00470460" w:rsidP="00942920">
                          <w:pPr>
                            <w:jc w:val="right"/>
                            <w:rPr>
                              <w:b/>
                              <w:bCs/>
                            </w:rPr>
                          </w:pPr>
                          <w:r>
                            <w:rPr>
                              <w:b/>
                              <w:bCs/>
                            </w:rPr>
                            <w:t>Desember</w:t>
                          </w:r>
                          <w:r w:rsidR="00942920" w:rsidRPr="00967D71">
                            <w:rPr>
                              <w:b/>
                              <w:bCs/>
                            </w:rPr>
                            <w:t xml:space="preserve"> 20</w:t>
                          </w:r>
                          <w:r>
                            <w:rPr>
                              <w:b/>
                              <w:bCs/>
                            </w:rPr>
                            <w:t>25</w:t>
                          </w:r>
                        </w:p>
                      </w:txbxContent>
                    </wps:txbx>
                    <wps:bodyPr rot="0" vert="horz" wrap="square" lIns="0" tIns="0" rIns="0" bIns="0" anchor="ctr" anchorCtr="0">
                      <a:noAutofit/>
                    </wps:bodyPr>
                  </wps:wsp>
                </a:graphicData>
              </a:graphic>
            </wp:inline>
          </w:drawing>
        </mc:Choice>
        <mc:Fallback>
          <w:pict>
            <v:shape w14:anchorId="6737C8E7" id="_x0000_s1027" type="#_x0000_t202" style="width:71.4pt;height:4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" filled="f" stroked="f">
              <v:textbox inset="0,0,0,0">
                <w:txbxContent>
                  <w:p w14:paraId="63F2EAA3" w14:textId="2DC11FF9" w:rsidR="00942920" w:rsidRPr="00967D71" w:rsidRDefault="00942920" w:rsidP="00942920">
                    <w:pPr>
                      <w:jc w:val="right"/>
                      <w:rPr>
                        <w:b/>
                        <w:bCs/>
                      </w:rPr>
                    </w:pPr>
                    <w:r w:rsidRPr="00967D71">
                      <w:rPr>
                        <w:b/>
                        <w:bCs/>
                      </w:rPr>
                      <w:t xml:space="preserve">Vol. </w:t>
                    </w:r>
                    <w:r w:rsidR="00470460">
                      <w:rPr>
                        <w:b/>
                        <w:bCs/>
                      </w:rPr>
                      <w:t>8</w:t>
                    </w:r>
                    <w:r w:rsidRPr="00967D71">
                      <w:rPr>
                        <w:b/>
                        <w:bCs/>
                      </w:rPr>
                      <w:t xml:space="preserve"> No. </w:t>
                    </w:r>
                    <w:r w:rsidR="00470460">
                      <w:rPr>
                        <w:b/>
                        <w:bCs/>
                      </w:rPr>
                      <w:t>2</w:t>
                    </w:r>
                  </w:p>
                  <w:p w14:paraId="4F4A6CFF" w14:textId="172091E4" w:rsidR="00942920" w:rsidRPr="00967D71" w:rsidRDefault="00470460" w:rsidP="00942920">
                    <w:pPr>
                      <w:jc w:val="right"/>
                      <w:rPr>
                        <w:b/>
                        <w:bCs/>
                      </w:rPr>
                    </w:pPr>
                    <w:r>
                      <w:rPr>
                        <w:b/>
                        <w:bCs/>
                      </w:rPr>
                      <w:t>Desember</w:t>
                    </w:r>
                    <w:r w:rsidR="00942920" w:rsidRPr="00967D71">
                      <w:rPr>
                        <w:b/>
                        <w:bCs/>
                      </w:rPr>
                      <w:t xml:space="preserve"> 20</w:t>
                    </w:r>
                    <w:r>
                      <w:rPr>
                        <w:b/>
                        <w:bCs/>
                      </w:rPr>
                      <w:t>25</w:t>
                    </w:r>
                  </w:p>
                </w:txbxContent>
              </v:textbox>
              <w10:anchorlock/>
            </v:shape>
          </w:pict>
        </mc:Fallback>
      </mc:AlternateContent>
    </w:r>
  </w:p>
  <w:p w14:paraId="691D1DA3" w14:textId="6316B0BB" w:rsidR="00326337" w:rsidRPr="00326337" w:rsidRDefault="00000000" w:rsidP="00326337">
    <w:pPr>
      <w:rPr>
        <w:sz w:val="18"/>
        <w:szCs w:val="18"/>
      </w:rPr>
    </w:pPr>
    <w:r>
      <w:rPr>
        <w:sz w:val="18"/>
        <w:szCs w:val="18"/>
      </w:rPr>
      <w:pict w14:anchorId="5A1DB540">
        <v:rect id="_x0000_i1025" style="width:504.6pt;height:2pt;mso-position-horizontal:absolute"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3FF7" w14:textId="77777777" w:rsidR="00594A9C" w:rsidRDefault="00594A9C" w:rsidP="00594A9C">
    <w:pPr>
      <w:rPr>
        <w:sz w:val="48"/>
        <w:szCs w:val="48"/>
      </w:rPr>
    </w:pPr>
    <w:r>
      <w:rPr>
        <w:noProof/>
      </w:rPr>
      <w:drawing>
        <wp:inline distT="0" distB="0" distL="0" distR="0" wp14:anchorId="796E7605" wp14:editId="1DB286DE">
          <wp:extent cx="1555750" cy="662273"/>
          <wp:effectExtent l="0" t="0" r="635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
                    <a:extLst>
                      <a:ext uri="{28A0092B-C50C-407E-A947-70E740481C1C}">
                        <a14:useLocalDpi xmlns:a14="http://schemas.microsoft.com/office/drawing/2010/main" val="0"/>
                      </a:ext>
                    </a:extLst>
                  </a:blip>
                  <a:srcRect b="12088"/>
                  <a:stretch/>
                </pic:blipFill>
                <pic:spPr bwMode="auto">
                  <a:xfrm>
                    <a:off x="0" y="0"/>
                    <a:ext cx="1566768" cy="666963"/>
                  </a:xfrm>
                  <a:prstGeom prst="rect">
                    <a:avLst/>
                  </a:prstGeom>
                  <a:noFill/>
                  <a:ln>
                    <a:noFill/>
                  </a:ln>
                  <a:extLst>
                    <a:ext uri="{53640926-AAD7-44D8-BBD7-CCE9431645EC}">
                      <a14:shadowObscured xmlns:a14="http://schemas.microsoft.com/office/drawing/2010/main"/>
                    </a:ext>
                  </a:extLst>
                </pic:spPr>
              </pic:pic>
            </a:graphicData>
          </a:graphic>
        </wp:inline>
      </w:drawing>
    </w:r>
    <w:r w:rsidRPr="00326337">
      <w:rPr>
        <w:noProof/>
        <w:sz w:val="48"/>
        <w:szCs w:val="48"/>
      </w:rPr>
      <mc:AlternateContent>
        <mc:Choice Requires="wps">
          <w:drawing>
            <wp:inline distT="0" distB="0" distL="0" distR="0" wp14:anchorId="64ECBF99" wp14:editId="697F3F53">
              <wp:extent cx="3862426" cy="648970"/>
              <wp:effectExtent l="0" t="0" r="0" b="0"/>
              <wp:docPr id="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426" cy="648970"/>
                      </a:xfrm>
                      <a:prstGeom prst="rect">
                        <a:avLst/>
                      </a:prstGeom>
                      <a:noFill/>
                      <a:ln w="9525">
                        <a:noFill/>
                        <a:miter lim="800000"/>
                        <a:headEnd/>
                        <a:tailEnd/>
                      </a:ln>
                    </wps:spPr>
                    <wps:txbx>
                      <w:txbxContent>
                        <w:p w14:paraId="6673DC44" w14:textId="77777777" w:rsidR="00594A9C" w:rsidRPr="00942920" w:rsidRDefault="00594A9C" w:rsidP="00594A9C">
                          <w:pPr>
                            <w:jc w:val="center"/>
                            <w:rPr>
                              <w:b/>
                              <w:bCs/>
                            </w:rPr>
                          </w:pPr>
                          <w:r w:rsidRPr="00942920">
                            <w:rPr>
                              <w:b/>
                              <w:bCs/>
                            </w:rPr>
                            <w:t>www.journal.stifera.ac.id</w:t>
                          </w:r>
                        </w:p>
                        <w:p w14:paraId="05D60036" w14:textId="77777777" w:rsidR="00594A9C" w:rsidRPr="00942920" w:rsidRDefault="00594A9C" w:rsidP="00594A9C">
                          <w:pPr>
                            <w:jc w:val="center"/>
                            <w:rPr>
                              <w:rFonts w:ascii="Berlin Sans FB Demi" w:hAnsi="Berlin Sans FB Demi"/>
                              <w:sz w:val="32"/>
                              <w:szCs w:val="32"/>
                            </w:rPr>
                          </w:pPr>
                          <w:r w:rsidRPr="00942920">
                            <w:rPr>
                              <w:rFonts w:ascii="Berlin Sans FB Demi" w:hAnsi="Berlin Sans FB Demi"/>
                              <w:sz w:val="32"/>
                              <w:szCs w:val="32"/>
                            </w:rPr>
                            <w:t>JURNAL FARMASI &amp; SAINS INDONESIA</w:t>
                          </w:r>
                        </w:p>
                        <w:p w14:paraId="7DD2D37B" w14:textId="77777777" w:rsidR="00594A9C" w:rsidRPr="00326337" w:rsidRDefault="00594A9C" w:rsidP="00594A9C">
                          <w:pPr>
                            <w:jc w:val="center"/>
                            <w:rPr>
                              <w:rFonts w:ascii="Berlin Sans FB Demi" w:hAnsi="Berlin Sans FB Demi"/>
                              <w:sz w:val="36"/>
                              <w:szCs w:val="36"/>
                            </w:rPr>
                          </w:pPr>
                          <w:r>
                            <w:rPr>
                              <w:rFonts w:ascii="Arial" w:hAnsi="Arial" w:cs="Arial"/>
                              <w:b/>
                              <w:bCs/>
                              <w:sz w:val="18"/>
                              <w:szCs w:val="18"/>
                            </w:rPr>
                            <w:t>p-</w:t>
                          </w:r>
                          <w:r w:rsidRPr="0048487C">
                            <w:rPr>
                              <w:rFonts w:ascii="Arial" w:hAnsi="Arial" w:cs="Arial"/>
                              <w:b/>
                              <w:bCs/>
                              <w:sz w:val="18"/>
                              <w:szCs w:val="18"/>
                            </w:rPr>
                            <w:t>ISSN 2621-9360</w:t>
                          </w:r>
                          <w:r>
                            <w:rPr>
                              <w:rFonts w:ascii="Arial" w:hAnsi="Arial" w:cs="Arial"/>
                              <w:b/>
                              <w:bCs/>
                              <w:sz w:val="18"/>
                              <w:szCs w:val="18"/>
                            </w:rPr>
                            <w:tab/>
                            <w:t>e-ISSN 2686-3529</w:t>
                          </w:r>
                        </w:p>
                      </w:txbxContent>
                    </wps:txbx>
                    <wps:bodyPr rot="0" vert="horz" wrap="square" lIns="91440" tIns="45720" rIns="91440" bIns="45720" anchor="ctr" anchorCtr="0">
                      <a:noAutofit/>
                    </wps:bodyPr>
                  </wps:wsp>
                </a:graphicData>
              </a:graphic>
            </wp:inline>
          </w:drawing>
        </mc:Choice>
        <mc:Fallback>
          <w:pict>
            <v:shapetype w14:anchorId="64ECBF99" id="_x0000_t202" coordsize="21600,21600" o:spt="202" path="m,l,21600r21600,l21600,xe">
              <v:stroke joinstyle="miter"/>
              <v:path gradientshapeok="t" o:connecttype="rect"/>
            </v:shapetype>
            <v:shape id="_x0000_s1028" type="#_x0000_t202" style="width:304.15pt;height:5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" filled="f" stroked="f">
              <v:textbox>
                <w:txbxContent>
                  <w:p w14:paraId="6673DC44" w14:textId="77777777" w:rsidR="00594A9C" w:rsidRPr="00942920" w:rsidRDefault="00594A9C" w:rsidP="00594A9C">
                    <w:pPr>
                      <w:jc w:val="center"/>
                      <w:rPr>
                        <w:b/>
                        <w:bCs/>
                      </w:rPr>
                    </w:pPr>
                    <w:r w:rsidRPr="00942920">
                      <w:rPr>
                        <w:b/>
                        <w:bCs/>
                      </w:rPr>
                      <w:t>www.journal.stifera.ac.id</w:t>
                    </w:r>
                  </w:p>
                  <w:p w14:paraId="05D60036" w14:textId="77777777" w:rsidR="00594A9C" w:rsidRPr="00942920" w:rsidRDefault="00594A9C" w:rsidP="00594A9C">
                    <w:pPr>
                      <w:jc w:val="center"/>
                      <w:rPr>
                        <w:rFonts w:ascii="Berlin Sans FB Demi" w:hAnsi="Berlin Sans FB Demi"/>
                        <w:sz w:val="32"/>
                        <w:szCs w:val="32"/>
                      </w:rPr>
                    </w:pPr>
                    <w:r w:rsidRPr="00942920">
                      <w:rPr>
                        <w:rFonts w:ascii="Berlin Sans FB Demi" w:hAnsi="Berlin Sans FB Demi"/>
                        <w:sz w:val="32"/>
                        <w:szCs w:val="32"/>
                      </w:rPr>
                      <w:t>JURNAL FARMASI &amp; SAINS INDONESIA</w:t>
                    </w:r>
                  </w:p>
                  <w:p w14:paraId="7DD2D37B" w14:textId="77777777" w:rsidR="00594A9C" w:rsidRPr="00326337" w:rsidRDefault="00594A9C" w:rsidP="00594A9C">
                    <w:pPr>
                      <w:jc w:val="center"/>
                      <w:rPr>
                        <w:rFonts w:ascii="Berlin Sans FB Demi" w:hAnsi="Berlin Sans FB Demi"/>
                        <w:sz w:val="36"/>
                        <w:szCs w:val="36"/>
                      </w:rPr>
                    </w:pPr>
                    <w:r>
                      <w:rPr>
                        <w:rFonts w:ascii="Arial" w:hAnsi="Arial" w:cs="Arial"/>
                        <w:b/>
                        <w:bCs/>
                        <w:sz w:val="18"/>
                        <w:szCs w:val="18"/>
                      </w:rPr>
                      <w:t>p-</w:t>
                    </w:r>
                    <w:r w:rsidRPr="0048487C">
                      <w:rPr>
                        <w:rFonts w:ascii="Arial" w:hAnsi="Arial" w:cs="Arial"/>
                        <w:b/>
                        <w:bCs/>
                        <w:sz w:val="18"/>
                        <w:szCs w:val="18"/>
                      </w:rPr>
                      <w:t>ISSN 2621-9360</w:t>
                    </w:r>
                    <w:r>
                      <w:rPr>
                        <w:rFonts w:ascii="Arial" w:hAnsi="Arial" w:cs="Arial"/>
                        <w:b/>
                        <w:bCs/>
                        <w:sz w:val="18"/>
                        <w:szCs w:val="18"/>
                      </w:rPr>
                      <w:tab/>
                      <w:t>e-ISSN 2686-3529</w:t>
                    </w:r>
                  </w:p>
                </w:txbxContent>
              </v:textbox>
              <w10:anchorlock/>
            </v:shape>
          </w:pict>
        </mc:Fallback>
      </mc:AlternateContent>
    </w:r>
    <w:r w:rsidRPr="00942920">
      <w:rPr>
        <w:noProof/>
        <w:sz w:val="48"/>
        <w:szCs w:val="48"/>
      </w:rPr>
      <mc:AlternateContent>
        <mc:Choice Requires="wps">
          <w:drawing>
            <wp:inline distT="0" distB="0" distL="0" distR="0" wp14:anchorId="51AD3ED3" wp14:editId="7E4FFF2A">
              <wp:extent cx="907085" cy="613791"/>
              <wp:effectExtent l="0" t="0" r="7620" b="0"/>
              <wp:docPr id="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085" cy="613791"/>
                      </a:xfrm>
                      <a:prstGeom prst="rect">
                        <a:avLst/>
                      </a:prstGeom>
                      <a:noFill/>
                      <a:ln w="9525">
                        <a:noFill/>
                        <a:miter lim="800000"/>
                        <a:headEnd/>
                        <a:tailEnd/>
                      </a:ln>
                    </wps:spPr>
                    <wps:txbx>
                      <w:txbxContent>
                        <w:p w14:paraId="7DFD0E9E" w14:textId="4ECAAEC7" w:rsidR="00594A9C" w:rsidRPr="00967D71" w:rsidRDefault="00594A9C" w:rsidP="00594A9C">
                          <w:pPr>
                            <w:jc w:val="right"/>
                            <w:rPr>
                              <w:b/>
                              <w:bCs/>
                            </w:rPr>
                          </w:pPr>
                          <w:r w:rsidRPr="00967D71">
                            <w:rPr>
                              <w:b/>
                              <w:bCs/>
                            </w:rPr>
                            <w:t xml:space="preserve">Vol. </w:t>
                          </w:r>
                          <w:r w:rsidR="00470460">
                            <w:rPr>
                              <w:b/>
                              <w:bCs/>
                            </w:rPr>
                            <w:t>8</w:t>
                          </w:r>
                          <w:r w:rsidRPr="00967D71">
                            <w:rPr>
                              <w:b/>
                              <w:bCs/>
                            </w:rPr>
                            <w:t xml:space="preserve"> No. </w:t>
                          </w:r>
                          <w:r w:rsidR="00470460">
                            <w:rPr>
                              <w:b/>
                              <w:bCs/>
                            </w:rPr>
                            <w:t>2</w:t>
                          </w:r>
                        </w:p>
                        <w:p w14:paraId="7026C984" w14:textId="7288A59E" w:rsidR="00594A9C" w:rsidRPr="00967D71" w:rsidRDefault="00470460" w:rsidP="00594A9C">
                          <w:pPr>
                            <w:jc w:val="right"/>
                            <w:rPr>
                              <w:b/>
                              <w:bCs/>
                            </w:rPr>
                          </w:pPr>
                          <w:r>
                            <w:rPr>
                              <w:b/>
                              <w:bCs/>
                            </w:rPr>
                            <w:t>Desember</w:t>
                          </w:r>
                          <w:r w:rsidR="00594A9C" w:rsidRPr="00967D71">
                            <w:rPr>
                              <w:b/>
                              <w:bCs/>
                            </w:rPr>
                            <w:t xml:space="preserve"> 20</w:t>
                          </w:r>
                          <w:r>
                            <w:rPr>
                              <w:b/>
                              <w:bCs/>
                            </w:rPr>
                            <w:t>25</w:t>
                          </w:r>
                        </w:p>
                      </w:txbxContent>
                    </wps:txbx>
                    <wps:bodyPr rot="0" vert="horz" wrap="square" lIns="0" tIns="0" rIns="0" bIns="0" anchor="ctr" anchorCtr="0">
                      <a:noAutofit/>
                    </wps:bodyPr>
                  </wps:wsp>
                </a:graphicData>
              </a:graphic>
            </wp:inline>
          </w:drawing>
        </mc:Choice>
        <mc:Fallback>
          <w:pict>
            <v:shape w14:anchorId="51AD3ED3" id="_x0000_s1029" type="#_x0000_t202" style="width:71.4pt;height:4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" filled="f" stroked="f">
              <v:textbox inset="0,0,0,0">
                <w:txbxContent>
                  <w:p w14:paraId="7DFD0E9E" w14:textId="4ECAAEC7" w:rsidR="00594A9C" w:rsidRPr="00967D71" w:rsidRDefault="00594A9C" w:rsidP="00594A9C">
                    <w:pPr>
                      <w:jc w:val="right"/>
                      <w:rPr>
                        <w:b/>
                        <w:bCs/>
                      </w:rPr>
                    </w:pPr>
                    <w:r w:rsidRPr="00967D71">
                      <w:rPr>
                        <w:b/>
                        <w:bCs/>
                      </w:rPr>
                      <w:t xml:space="preserve">Vol. </w:t>
                    </w:r>
                    <w:r w:rsidR="00470460">
                      <w:rPr>
                        <w:b/>
                        <w:bCs/>
                      </w:rPr>
                      <w:t>8</w:t>
                    </w:r>
                    <w:r w:rsidRPr="00967D71">
                      <w:rPr>
                        <w:b/>
                        <w:bCs/>
                      </w:rPr>
                      <w:t xml:space="preserve"> No. </w:t>
                    </w:r>
                    <w:r w:rsidR="00470460">
                      <w:rPr>
                        <w:b/>
                        <w:bCs/>
                      </w:rPr>
                      <w:t>2</w:t>
                    </w:r>
                  </w:p>
                  <w:p w14:paraId="7026C984" w14:textId="7288A59E" w:rsidR="00594A9C" w:rsidRPr="00967D71" w:rsidRDefault="00470460" w:rsidP="00594A9C">
                    <w:pPr>
                      <w:jc w:val="right"/>
                      <w:rPr>
                        <w:b/>
                        <w:bCs/>
                      </w:rPr>
                    </w:pPr>
                    <w:r>
                      <w:rPr>
                        <w:b/>
                        <w:bCs/>
                      </w:rPr>
                      <w:t>Desember</w:t>
                    </w:r>
                    <w:r w:rsidR="00594A9C" w:rsidRPr="00967D71">
                      <w:rPr>
                        <w:b/>
                        <w:bCs/>
                      </w:rPr>
                      <w:t xml:space="preserve"> 20</w:t>
                    </w:r>
                    <w:r>
                      <w:rPr>
                        <w:b/>
                        <w:bCs/>
                      </w:rPr>
                      <w:t>25</w:t>
                    </w:r>
                  </w:p>
                </w:txbxContent>
              </v:textbox>
              <w10:anchorlock/>
            </v:shape>
          </w:pict>
        </mc:Fallback>
      </mc:AlternateContent>
    </w:r>
  </w:p>
  <w:p w14:paraId="71723B78" w14:textId="48021CE5" w:rsidR="00594A9C" w:rsidRPr="00594A9C" w:rsidRDefault="00000000" w:rsidP="00594A9C">
    <w:pPr>
      <w:rPr>
        <w:sz w:val="18"/>
        <w:szCs w:val="18"/>
      </w:rPr>
    </w:pPr>
    <w:r>
      <w:rPr>
        <w:sz w:val="18"/>
        <w:szCs w:val="18"/>
      </w:rPr>
      <w:pict w14:anchorId="4078697E">
        <v:rect id="_x0000_i1026" style="width:504.6pt;height:2pt;mso-position-horizontal:absolute" o:hralign="center" o:hrstd="t" o:hrnoshade="t" o:hr="t" fillcolor="black [3213]"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967D71" w:rsidRPr="0048487C" w14:paraId="3E04BE53" w14:textId="77777777" w:rsidTr="00967D71">
      <w:tc>
        <w:tcPr>
          <w:tcW w:w="5103" w:type="dxa"/>
        </w:tcPr>
        <w:p w14:paraId="7635E835" w14:textId="7B2E95A1" w:rsidR="00967D71" w:rsidRPr="0048487C" w:rsidRDefault="00967D71" w:rsidP="00967D71">
          <w:pPr>
            <w:pStyle w:val="Header"/>
            <w:rPr>
              <w:rFonts w:ascii="Arial" w:hAnsi="Arial" w:cs="Arial"/>
              <w:b/>
              <w:bCs/>
              <w:sz w:val="18"/>
              <w:szCs w:val="18"/>
            </w:rPr>
          </w:pPr>
          <w:r w:rsidRPr="0048487C">
            <w:rPr>
              <w:rFonts w:ascii="Arial" w:hAnsi="Arial" w:cs="Arial"/>
              <w:b/>
              <w:bCs/>
              <w:sz w:val="18"/>
              <w:szCs w:val="18"/>
            </w:rPr>
            <w:t xml:space="preserve">Jurnal </w:t>
          </w:r>
          <w:r w:rsidRPr="0048487C">
            <w:rPr>
              <w:rFonts w:ascii="Arial" w:hAnsi="Arial" w:cs="Arial"/>
              <w:b/>
              <w:bCs/>
              <w:sz w:val="18"/>
              <w:szCs w:val="18"/>
            </w:rPr>
            <w:t>Farmasi &amp; Sains Indonesia</w:t>
          </w:r>
        </w:p>
      </w:tc>
      <w:tc>
        <w:tcPr>
          <w:tcW w:w="5103" w:type="dxa"/>
        </w:tcPr>
        <w:p w14:paraId="0D1A1E30" w14:textId="0BF9F403" w:rsidR="00967D71" w:rsidRPr="0048487C" w:rsidRDefault="00967D71" w:rsidP="00967D71">
          <w:pPr>
            <w:pStyle w:val="Header"/>
            <w:jc w:val="right"/>
            <w:rPr>
              <w:rFonts w:ascii="Arial" w:hAnsi="Arial" w:cs="Arial"/>
              <w:b/>
              <w:bCs/>
              <w:sz w:val="18"/>
              <w:szCs w:val="18"/>
            </w:rPr>
          </w:pPr>
          <w:r w:rsidRPr="0048487C">
            <w:rPr>
              <w:rFonts w:ascii="Arial" w:hAnsi="Arial" w:cs="Arial"/>
              <w:b/>
              <w:bCs/>
              <w:sz w:val="18"/>
              <w:szCs w:val="18"/>
            </w:rPr>
            <w:t xml:space="preserve">Vol. </w:t>
          </w:r>
          <w:r w:rsidR="00470460">
            <w:rPr>
              <w:rFonts w:ascii="Arial" w:hAnsi="Arial" w:cs="Arial"/>
              <w:b/>
              <w:bCs/>
              <w:sz w:val="18"/>
              <w:szCs w:val="18"/>
            </w:rPr>
            <w:t>8</w:t>
          </w:r>
          <w:r w:rsidRPr="0048487C">
            <w:rPr>
              <w:rFonts w:ascii="Arial" w:hAnsi="Arial" w:cs="Arial"/>
              <w:b/>
              <w:bCs/>
              <w:sz w:val="18"/>
              <w:szCs w:val="18"/>
            </w:rPr>
            <w:t xml:space="preserve"> No. </w:t>
          </w:r>
          <w:r w:rsidR="00470460">
            <w:rPr>
              <w:rFonts w:ascii="Arial" w:hAnsi="Arial" w:cs="Arial"/>
              <w:b/>
              <w:bCs/>
              <w:sz w:val="18"/>
              <w:szCs w:val="18"/>
            </w:rPr>
            <w:t>2</w:t>
          </w:r>
        </w:p>
      </w:tc>
    </w:tr>
    <w:tr w:rsidR="00967D71" w:rsidRPr="0048487C" w14:paraId="5795601B" w14:textId="77777777" w:rsidTr="00967D71">
      <w:tc>
        <w:tcPr>
          <w:tcW w:w="5103" w:type="dxa"/>
        </w:tcPr>
        <w:p w14:paraId="57065A68" w14:textId="77777777" w:rsidR="00967D71" w:rsidRPr="0048487C" w:rsidRDefault="00967D71" w:rsidP="00967D71">
          <w:pPr>
            <w:pStyle w:val="Header"/>
            <w:rPr>
              <w:rFonts w:ascii="Arial" w:hAnsi="Arial" w:cs="Arial"/>
              <w:b/>
              <w:bCs/>
              <w:sz w:val="18"/>
              <w:szCs w:val="18"/>
            </w:rPr>
          </w:pPr>
          <w:r>
            <w:rPr>
              <w:rFonts w:ascii="Arial" w:hAnsi="Arial" w:cs="Arial"/>
              <w:b/>
              <w:bCs/>
              <w:sz w:val="18"/>
              <w:szCs w:val="18"/>
            </w:rPr>
            <w:t>p-</w:t>
          </w:r>
          <w:r w:rsidRPr="0048487C">
            <w:rPr>
              <w:rFonts w:ascii="Arial" w:hAnsi="Arial" w:cs="Arial"/>
              <w:b/>
              <w:bCs/>
              <w:sz w:val="18"/>
              <w:szCs w:val="18"/>
            </w:rPr>
            <w:t>ISSN 2621-9360</w:t>
          </w:r>
          <w:r>
            <w:rPr>
              <w:rFonts w:ascii="Arial" w:hAnsi="Arial" w:cs="Arial"/>
              <w:b/>
              <w:bCs/>
              <w:sz w:val="18"/>
              <w:szCs w:val="18"/>
            </w:rPr>
            <w:t xml:space="preserve">     e-ISSN 2686-3529</w:t>
          </w:r>
        </w:p>
      </w:tc>
      <w:tc>
        <w:tcPr>
          <w:tcW w:w="5103" w:type="dxa"/>
        </w:tcPr>
        <w:p w14:paraId="29C722F8" w14:textId="77777777" w:rsidR="00967D71" w:rsidRPr="0048487C" w:rsidRDefault="00967D71" w:rsidP="00967D71">
          <w:pPr>
            <w:pStyle w:val="Header"/>
            <w:jc w:val="right"/>
            <w:rPr>
              <w:rFonts w:ascii="Arial" w:hAnsi="Arial" w:cs="Arial"/>
              <w:b/>
              <w:bCs/>
              <w:sz w:val="18"/>
              <w:szCs w:val="18"/>
            </w:rPr>
          </w:pPr>
          <w:r w:rsidRPr="0048487C">
            <w:rPr>
              <w:rFonts w:ascii="Arial" w:hAnsi="Arial" w:cs="Arial"/>
              <w:b/>
              <w:bCs/>
              <w:sz w:val="18"/>
              <w:szCs w:val="18"/>
            </w:rPr>
            <w:t>journal.</w:t>
          </w:r>
          <w:r>
            <w:rPr>
              <w:rFonts w:ascii="Arial" w:hAnsi="Arial" w:cs="Arial"/>
              <w:b/>
              <w:bCs/>
              <w:sz w:val="18"/>
              <w:szCs w:val="18"/>
            </w:rPr>
            <w:t>stifera</w:t>
          </w:r>
          <w:r w:rsidRPr="0048487C">
            <w:rPr>
              <w:rFonts w:ascii="Arial" w:hAnsi="Arial" w:cs="Arial"/>
              <w:b/>
              <w:bCs/>
              <w:sz w:val="18"/>
              <w:szCs w:val="18"/>
            </w:rPr>
            <w:t>.ac.id</w:t>
          </w:r>
        </w:p>
      </w:tc>
    </w:tr>
  </w:tbl>
  <w:p w14:paraId="644CD98A" w14:textId="718517B3" w:rsidR="00B43468" w:rsidRDefault="00B43468" w:rsidP="0096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B047A"/>
    <w:multiLevelType w:val="multilevel"/>
    <w:tmpl w:val="506CC638"/>
    <w:lvl w:ilvl="0">
      <w:start w:val="1"/>
      <w:numFmt w:val="decimal"/>
      <w:pStyle w:val="JFSIBAB"/>
      <w:lvlText w:val="%1."/>
      <w:lvlJc w:val="left"/>
      <w:pPr>
        <w:ind w:left="720" w:hanging="360"/>
      </w:pPr>
      <w:rPr>
        <w:rFonts w:hint="default"/>
      </w:rPr>
    </w:lvl>
    <w:lvl w:ilvl="1">
      <w:start w:val="1"/>
      <w:numFmt w:val="decimal"/>
      <w:pStyle w:val="JFSISubba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5F247B"/>
    <w:multiLevelType w:val="hybridMultilevel"/>
    <w:tmpl w:val="762273DC"/>
    <w:lvl w:ilvl="0" w:tplc="3C2CD6B2">
      <w:start w:val="1"/>
      <w:numFmt w:val="decimal"/>
      <w:pStyle w:val="JFSIJudulTabel"/>
      <w:lvlText w:val="Tabel %1."/>
      <w:lvlJc w:val="left"/>
      <w:pPr>
        <w:ind w:left="89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CB923D7"/>
    <w:multiLevelType w:val="hybridMultilevel"/>
    <w:tmpl w:val="237C9CD0"/>
    <w:lvl w:ilvl="0" w:tplc="40E61E9E">
      <w:start w:val="1"/>
      <w:numFmt w:val="decimal"/>
      <w:pStyle w:val="JFSIJudulGambar"/>
      <w:lvlText w:val="Gambar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98828531">
    <w:abstractNumId w:val="0"/>
  </w:num>
  <w:num w:numId="2" w16cid:durableId="1774207135">
    <w:abstractNumId w:val="1"/>
  </w:num>
  <w:num w:numId="3" w16cid:durableId="1887720258">
    <w:abstractNumId w:val="2"/>
  </w:num>
  <w:num w:numId="4" w16cid:durableId="1965112773">
    <w:abstractNumId w:val="1"/>
  </w:num>
  <w:num w:numId="5" w16cid:durableId="468866308">
    <w:abstractNumId w:val="1"/>
    <w:lvlOverride w:ilvl="0">
      <w:startOverride w:val="1"/>
    </w:lvlOverride>
  </w:num>
  <w:num w:numId="6" w16cid:durableId="965889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0MDY2NDA2sjQxMzRQ0lEKTi0uzszPAykwqgUAwONOoywAAAA="/>
  </w:docVars>
  <w:rsids>
    <w:rsidRoot w:val="009577CC"/>
    <w:rsid w:val="0004145B"/>
    <w:rsid w:val="00067A35"/>
    <w:rsid w:val="00097730"/>
    <w:rsid w:val="000E739E"/>
    <w:rsid w:val="00162942"/>
    <w:rsid w:val="00170F99"/>
    <w:rsid w:val="001A7840"/>
    <w:rsid w:val="0020167B"/>
    <w:rsid w:val="002A3E23"/>
    <w:rsid w:val="002A7B3D"/>
    <w:rsid w:val="00320594"/>
    <w:rsid w:val="00321897"/>
    <w:rsid w:val="00326337"/>
    <w:rsid w:val="00332A48"/>
    <w:rsid w:val="00373F78"/>
    <w:rsid w:val="003F5425"/>
    <w:rsid w:val="00424FEE"/>
    <w:rsid w:val="00457BFA"/>
    <w:rsid w:val="004632D5"/>
    <w:rsid w:val="00470460"/>
    <w:rsid w:val="004F409E"/>
    <w:rsid w:val="0055667C"/>
    <w:rsid w:val="00592835"/>
    <w:rsid w:val="00594A9C"/>
    <w:rsid w:val="005B0B0C"/>
    <w:rsid w:val="006000C2"/>
    <w:rsid w:val="00600C74"/>
    <w:rsid w:val="006617A5"/>
    <w:rsid w:val="00677F61"/>
    <w:rsid w:val="006E7963"/>
    <w:rsid w:val="007003C6"/>
    <w:rsid w:val="0071239F"/>
    <w:rsid w:val="00720215"/>
    <w:rsid w:val="00744600"/>
    <w:rsid w:val="007B4230"/>
    <w:rsid w:val="007F52DC"/>
    <w:rsid w:val="00812E02"/>
    <w:rsid w:val="00850825"/>
    <w:rsid w:val="00896264"/>
    <w:rsid w:val="008A0A44"/>
    <w:rsid w:val="008A2AC6"/>
    <w:rsid w:val="008D7701"/>
    <w:rsid w:val="00942920"/>
    <w:rsid w:val="0094389E"/>
    <w:rsid w:val="009577CC"/>
    <w:rsid w:val="00967D71"/>
    <w:rsid w:val="00973DCF"/>
    <w:rsid w:val="009D7439"/>
    <w:rsid w:val="00AF0331"/>
    <w:rsid w:val="00AF53FC"/>
    <w:rsid w:val="00B43468"/>
    <w:rsid w:val="00B8336F"/>
    <w:rsid w:val="00BF560E"/>
    <w:rsid w:val="00C10026"/>
    <w:rsid w:val="00C11A95"/>
    <w:rsid w:val="00C51A3A"/>
    <w:rsid w:val="00CA2B40"/>
    <w:rsid w:val="00CC19DF"/>
    <w:rsid w:val="00CE5045"/>
    <w:rsid w:val="00D24F30"/>
    <w:rsid w:val="00D42713"/>
    <w:rsid w:val="00D832E6"/>
    <w:rsid w:val="00DA0A25"/>
    <w:rsid w:val="00DA1B62"/>
    <w:rsid w:val="00DC66A0"/>
    <w:rsid w:val="00DF20B6"/>
    <w:rsid w:val="00E00D09"/>
    <w:rsid w:val="00E348DA"/>
    <w:rsid w:val="00E953F8"/>
    <w:rsid w:val="00EB2493"/>
    <w:rsid w:val="00EB4CD0"/>
    <w:rsid w:val="00F0378E"/>
    <w:rsid w:val="00F4258F"/>
    <w:rsid w:val="00F902A1"/>
    <w:rsid w:val="00F94006"/>
    <w:rsid w:val="00FC6C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CD16"/>
  <w15:chartTrackingRefBased/>
  <w15:docId w15:val="{4382870B-EF82-483B-8376-D2796E3B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rsid w:val="00594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577CC"/>
    <w:rPr>
      <w:color w:val="0563C1" w:themeColor="hyperlink"/>
      <w:u w:val="single"/>
    </w:rPr>
  </w:style>
  <w:style w:type="character" w:styleId="UnresolvedMention">
    <w:name w:val="Unresolved Mention"/>
    <w:basedOn w:val="DefaultParagraphFont"/>
    <w:uiPriority w:val="99"/>
    <w:semiHidden/>
    <w:rsid w:val="009577CC"/>
    <w:rPr>
      <w:color w:val="605E5C"/>
      <w:shd w:val="clear" w:color="auto" w:fill="E1DFDD"/>
    </w:rPr>
  </w:style>
  <w:style w:type="paragraph" w:styleId="ListParagraph">
    <w:name w:val="List Paragraph"/>
    <w:basedOn w:val="Normal"/>
    <w:link w:val="ListParagraphChar"/>
    <w:uiPriority w:val="34"/>
    <w:semiHidden/>
    <w:qFormat/>
    <w:rsid w:val="00162942"/>
    <w:pPr>
      <w:ind w:left="720"/>
      <w:contextualSpacing/>
    </w:pPr>
  </w:style>
  <w:style w:type="table" w:styleId="TableGrid">
    <w:name w:val="Table Grid"/>
    <w:basedOn w:val="TableNormal"/>
    <w:uiPriority w:val="39"/>
    <w:rsid w:val="00700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003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003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003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003C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7003C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JFSIJUDULARTIKEL">
    <w:name w:val="JFSI JUDUL ARTIKEL"/>
    <w:basedOn w:val="Normal"/>
    <w:link w:val="JFSIJUDULARTIKELChar"/>
    <w:qFormat/>
    <w:rsid w:val="002A3E23"/>
    <w:pPr>
      <w:spacing w:before="120" w:after="120" w:line="259" w:lineRule="auto"/>
    </w:pPr>
    <w:rPr>
      <w:b/>
      <w:bCs/>
      <w:sz w:val="32"/>
      <w:szCs w:val="32"/>
    </w:rPr>
  </w:style>
  <w:style w:type="paragraph" w:customStyle="1" w:styleId="JFSINamaPenulis">
    <w:name w:val="JFSI Nama Penulis"/>
    <w:basedOn w:val="Normal"/>
    <w:link w:val="JFSINamaPenulisChar"/>
    <w:qFormat/>
    <w:rsid w:val="00F902A1"/>
    <w:pPr>
      <w:spacing w:after="200" w:line="259" w:lineRule="auto"/>
    </w:pPr>
    <w:rPr>
      <w:b/>
      <w:bCs/>
    </w:rPr>
  </w:style>
  <w:style w:type="character" w:customStyle="1" w:styleId="JFSIJUDULARTIKELChar">
    <w:name w:val="JFSI JUDUL ARTIKEL Char"/>
    <w:basedOn w:val="DefaultParagraphFont"/>
    <w:link w:val="JFSIJUDULARTIKEL"/>
    <w:rsid w:val="002A3E23"/>
    <w:rPr>
      <w:b/>
      <w:bCs/>
      <w:sz w:val="32"/>
      <w:szCs w:val="32"/>
    </w:rPr>
  </w:style>
  <w:style w:type="paragraph" w:customStyle="1" w:styleId="JFSIAfiliasiPenulis">
    <w:name w:val="JFSI Afiliasi Penulis"/>
    <w:basedOn w:val="Normal"/>
    <w:link w:val="JFSIAfiliasiPenulisChar"/>
    <w:qFormat/>
    <w:rsid w:val="00F902A1"/>
    <w:rPr>
      <w:sz w:val="18"/>
      <w:szCs w:val="18"/>
    </w:rPr>
  </w:style>
  <w:style w:type="character" w:customStyle="1" w:styleId="JFSINamaPenulisChar">
    <w:name w:val="JFSI Nama Penulis Char"/>
    <w:basedOn w:val="DefaultParagraphFont"/>
    <w:link w:val="JFSINamaPenulis"/>
    <w:rsid w:val="00F902A1"/>
    <w:rPr>
      <w:b/>
      <w:bCs/>
    </w:rPr>
  </w:style>
  <w:style w:type="paragraph" w:customStyle="1" w:styleId="JFSIEmailKorespondensi">
    <w:name w:val="JFSI Email Korespondensi"/>
    <w:basedOn w:val="Normal"/>
    <w:link w:val="JFSIEmailKorespondensiChar"/>
    <w:qFormat/>
    <w:rsid w:val="00F902A1"/>
    <w:pPr>
      <w:spacing w:before="200" w:after="200" w:line="259" w:lineRule="auto"/>
    </w:pPr>
    <w:rPr>
      <w:sz w:val="18"/>
      <w:szCs w:val="18"/>
    </w:rPr>
  </w:style>
  <w:style w:type="character" w:customStyle="1" w:styleId="JFSIAfiliasiPenulisChar">
    <w:name w:val="JFSI Afiliasi Penulis Char"/>
    <w:basedOn w:val="DefaultParagraphFont"/>
    <w:link w:val="JFSIAfiliasiPenulis"/>
    <w:rsid w:val="00F902A1"/>
    <w:rPr>
      <w:sz w:val="18"/>
      <w:szCs w:val="18"/>
    </w:rPr>
  </w:style>
  <w:style w:type="paragraph" w:customStyle="1" w:styleId="JFSIDiterimaDirevisiPublikasi">
    <w:name w:val="JFSI Diterima Direvisi Publikasi"/>
    <w:basedOn w:val="Normal"/>
    <w:link w:val="JFSIDiterimaDirevisiPublikasiChar"/>
    <w:qFormat/>
    <w:rsid w:val="00F902A1"/>
    <w:rPr>
      <w:sz w:val="18"/>
      <w:szCs w:val="18"/>
    </w:rPr>
  </w:style>
  <w:style w:type="character" w:customStyle="1" w:styleId="JFSIEmailKorespondensiChar">
    <w:name w:val="JFSI Email Korespondensi Char"/>
    <w:basedOn w:val="DefaultParagraphFont"/>
    <w:link w:val="JFSIEmailKorespondensi"/>
    <w:rsid w:val="00F902A1"/>
    <w:rPr>
      <w:sz w:val="18"/>
      <w:szCs w:val="18"/>
    </w:rPr>
  </w:style>
  <w:style w:type="paragraph" w:customStyle="1" w:styleId="JFSIAbstrackJudul">
    <w:name w:val="JFSI Abstrack Judul"/>
    <w:basedOn w:val="Normal"/>
    <w:link w:val="JFSIAbstrackJudulChar"/>
    <w:qFormat/>
    <w:rsid w:val="00F902A1"/>
    <w:pPr>
      <w:spacing w:before="200" w:after="200"/>
    </w:pPr>
    <w:rPr>
      <w:b/>
      <w:bCs/>
    </w:rPr>
  </w:style>
  <w:style w:type="character" w:customStyle="1" w:styleId="JFSIDiterimaDirevisiPublikasiChar">
    <w:name w:val="JFSI Diterima Direvisi Publikasi Char"/>
    <w:basedOn w:val="DefaultParagraphFont"/>
    <w:link w:val="JFSIDiterimaDirevisiPublikasi"/>
    <w:rsid w:val="00F902A1"/>
    <w:rPr>
      <w:sz w:val="18"/>
      <w:szCs w:val="18"/>
    </w:rPr>
  </w:style>
  <w:style w:type="paragraph" w:customStyle="1" w:styleId="JFSIAbstractIsidanKeyword">
    <w:name w:val="JFSI Abstract Isi dan Keyword"/>
    <w:basedOn w:val="Normal"/>
    <w:link w:val="JFSIAbstractIsidanKeywordChar"/>
    <w:qFormat/>
    <w:rsid w:val="00F902A1"/>
    <w:pPr>
      <w:jc w:val="both"/>
    </w:pPr>
    <w:rPr>
      <w:i/>
      <w:iCs/>
    </w:rPr>
  </w:style>
  <w:style w:type="character" w:customStyle="1" w:styleId="JFSIAbstrackJudulChar">
    <w:name w:val="JFSI Abstrack Judul Char"/>
    <w:basedOn w:val="DefaultParagraphFont"/>
    <w:link w:val="JFSIAbstrackJudul"/>
    <w:rsid w:val="00F902A1"/>
    <w:rPr>
      <w:b/>
      <w:bCs/>
    </w:rPr>
  </w:style>
  <w:style w:type="paragraph" w:customStyle="1" w:styleId="JFSIBAB">
    <w:name w:val="JFSI BAB"/>
    <w:basedOn w:val="ListParagraph"/>
    <w:link w:val="JFSIBABChar"/>
    <w:qFormat/>
    <w:rsid w:val="008D7701"/>
    <w:pPr>
      <w:numPr>
        <w:numId w:val="1"/>
      </w:numPr>
      <w:spacing w:after="200"/>
      <w:ind w:left="425" w:hanging="425"/>
      <w:jc w:val="both"/>
    </w:pPr>
    <w:rPr>
      <w:b/>
      <w:bCs/>
    </w:rPr>
  </w:style>
  <w:style w:type="character" w:customStyle="1" w:styleId="JFSIAbstractIsidanKeywordChar">
    <w:name w:val="JFSI Abstract Isi dan Keyword Char"/>
    <w:basedOn w:val="DefaultParagraphFont"/>
    <w:link w:val="JFSIAbstractIsidanKeyword"/>
    <w:rsid w:val="00F902A1"/>
    <w:rPr>
      <w:i/>
      <w:iCs/>
    </w:rPr>
  </w:style>
  <w:style w:type="paragraph" w:customStyle="1" w:styleId="JFSINormal">
    <w:name w:val="JFSI Normal"/>
    <w:basedOn w:val="Normal"/>
    <w:qFormat/>
    <w:rsid w:val="00067A35"/>
    <w:pPr>
      <w:ind w:firstLine="426"/>
      <w:jc w:val="both"/>
    </w:pPr>
  </w:style>
  <w:style w:type="character" w:customStyle="1" w:styleId="ListParagraphChar">
    <w:name w:val="List Paragraph Char"/>
    <w:basedOn w:val="DefaultParagraphFont"/>
    <w:link w:val="ListParagraph"/>
    <w:uiPriority w:val="34"/>
    <w:semiHidden/>
    <w:rsid w:val="00B43468"/>
  </w:style>
  <w:style w:type="character" w:customStyle="1" w:styleId="JFSIBABChar">
    <w:name w:val="JFSI BAB Char"/>
    <w:basedOn w:val="ListParagraphChar"/>
    <w:link w:val="JFSIBAB"/>
    <w:rsid w:val="008D7701"/>
    <w:rPr>
      <w:b/>
      <w:bCs/>
    </w:rPr>
  </w:style>
  <w:style w:type="paragraph" w:customStyle="1" w:styleId="JFSISubbab">
    <w:name w:val="JFSI Subbab"/>
    <w:basedOn w:val="ListParagraph"/>
    <w:link w:val="JFSISubbabChar"/>
    <w:qFormat/>
    <w:rsid w:val="008A2AC6"/>
    <w:pPr>
      <w:numPr>
        <w:ilvl w:val="1"/>
        <w:numId w:val="1"/>
      </w:numPr>
      <w:ind w:left="426" w:hanging="426"/>
      <w:jc w:val="both"/>
    </w:pPr>
  </w:style>
  <w:style w:type="character" w:customStyle="1" w:styleId="JFSISubbabChar">
    <w:name w:val="JFSI Subbab Char"/>
    <w:basedOn w:val="ListParagraphChar"/>
    <w:link w:val="JFSISubbab"/>
    <w:rsid w:val="008A2AC6"/>
  </w:style>
  <w:style w:type="paragraph" w:customStyle="1" w:styleId="JFSIJudulTabel">
    <w:name w:val="JFSI Judul Tabel"/>
    <w:basedOn w:val="ListParagraph"/>
    <w:link w:val="JFSIJudulTabelChar"/>
    <w:qFormat/>
    <w:rsid w:val="004F409E"/>
    <w:pPr>
      <w:numPr>
        <w:numId w:val="2"/>
      </w:numPr>
      <w:spacing w:before="200"/>
    </w:pPr>
    <w:rPr>
      <w:b/>
      <w:bCs/>
      <w:sz w:val="20"/>
      <w:szCs w:val="20"/>
    </w:rPr>
  </w:style>
  <w:style w:type="paragraph" w:styleId="Caption">
    <w:name w:val="caption"/>
    <w:aliases w:val="Caption JFSI"/>
    <w:basedOn w:val="Normal"/>
    <w:next w:val="Normal"/>
    <w:link w:val="CaptionChar"/>
    <w:uiPriority w:val="35"/>
    <w:semiHidden/>
    <w:qFormat/>
    <w:rsid w:val="004F409E"/>
    <w:pPr>
      <w:spacing w:after="200"/>
    </w:pPr>
    <w:rPr>
      <w:b/>
      <w:bCs/>
      <w:sz w:val="20"/>
      <w:szCs w:val="20"/>
    </w:rPr>
  </w:style>
  <w:style w:type="character" w:customStyle="1" w:styleId="JFSIJudulTabelChar">
    <w:name w:val="JFSI Judul Tabel Char"/>
    <w:basedOn w:val="ListParagraphChar"/>
    <w:link w:val="JFSIJudulTabel"/>
    <w:rsid w:val="004F409E"/>
    <w:rPr>
      <w:b/>
      <w:bCs/>
      <w:sz w:val="20"/>
      <w:szCs w:val="20"/>
    </w:rPr>
  </w:style>
  <w:style w:type="paragraph" w:customStyle="1" w:styleId="JFSIJudulGambar">
    <w:name w:val="JFSI Judul Gambar"/>
    <w:basedOn w:val="Caption"/>
    <w:link w:val="JFSIJudulGambarChar"/>
    <w:qFormat/>
    <w:rsid w:val="00B43468"/>
    <w:pPr>
      <w:numPr>
        <w:numId w:val="3"/>
      </w:numPr>
      <w:jc w:val="center"/>
    </w:pPr>
  </w:style>
  <w:style w:type="paragraph" w:styleId="Header">
    <w:name w:val="header"/>
    <w:basedOn w:val="Normal"/>
    <w:link w:val="HeaderChar"/>
    <w:uiPriority w:val="99"/>
    <w:rsid w:val="00326337"/>
    <w:pPr>
      <w:tabs>
        <w:tab w:val="center" w:pos="4513"/>
        <w:tab w:val="right" w:pos="9026"/>
      </w:tabs>
    </w:pPr>
  </w:style>
  <w:style w:type="character" w:customStyle="1" w:styleId="CaptionChar">
    <w:name w:val="Caption Char"/>
    <w:aliases w:val="Caption JFSI Char"/>
    <w:basedOn w:val="DefaultParagraphFont"/>
    <w:link w:val="Caption"/>
    <w:uiPriority w:val="35"/>
    <w:semiHidden/>
    <w:rsid w:val="00B43468"/>
    <w:rPr>
      <w:b/>
      <w:bCs/>
      <w:sz w:val="20"/>
      <w:szCs w:val="20"/>
    </w:rPr>
  </w:style>
  <w:style w:type="character" w:customStyle="1" w:styleId="JFSIJudulGambarChar">
    <w:name w:val="JFSI Judul Gambar Char"/>
    <w:basedOn w:val="CaptionChar"/>
    <w:link w:val="JFSIJudulGambar"/>
    <w:rsid w:val="00B43468"/>
    <w:rPr>
      <w:b/>
      <w:bCs/>
      <w:sz w:val="20"/>
      <w:szCs w:val="20"/>
    </w:rPr>
  </w:style>
  <w:style w:type="character" w:customStyle="1" w:styleId="HeaderChar">
    <w:name w:val="Header Char"/>
    <w:basedOn w:val="DefaultParagraphFont"/>
    <w:link w:val="Header"/>
    <w:uiPriority w:val="99"/>
    <w:rsid w:val="00326337"/>
  </w:style>
  <w:style w:type="paragraph" w:styleId="Footer">
    <w:name w:val="footer"/>
    <w:basedOn w:val="Normal"/>
    <w:link w:val="FooterChar"/>
    <w:uiPriority w:val="99"/>
    <w:rsid w:val="00326337"/>
    <w:pPr>
      <w:tabs>
        <w:tab w:val="center" w:pos="4513"/>
        <w:tab w:val="right" w:pos="9026"/>
      </w:tabs>
    </w:pPr>
  </w:style>
  <w:style w:type="character" w:customStyle="1" w:styleId="FooterChar">
    <w:name w:val="Footer Char"/>
    <w:basedOn w:val="DefaultParagraphFont"/>
    <w:link w:val="Footer"/>
    <w:uiPriority w:val="99"/>
    <w:rsid w:val="00326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nisutanto@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E0C2-2824-4F50-BDE3-49891D56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8</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Ardian Hartanto Sawal</dc:creator>
  <cp:keywords/>
  <dc:description/>
  <cp:lastModifiedBy>Ayu Ina</cp:lastModifiedBy>
  <cp:revision>20</cp:revision>
  <cp:lastPrinted>2021-02-10T05:48:00Z</cp:lastPrinted>
  <dcterms:created xsi:type="dcterms:W3CDTF">2020-07-14T06:55:00Z</dcterms:created>
  <dcterms:modified xsi:type="dcterms:W3CDTF">2026-07-06T04:38:00Z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3bf4b120-7321-33ef-9c9a-0a6a43d898f6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